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CF970" w14:textId="0BB37FB8" w:rsidR="00B87E7F" w:rsidRPr="00415C98" w:rsidRDefault="008609A9" w:rsidP="00970BB4">
      <w:pPr>
        <w:pStyle w:val="Kontakt"/>
        <w:ind w:left="7230"/>
        <w:rPr>
          <w:b/>
          <w:lang w:val="en-US"/>
        </w:rPr>
      </w:pPr>
      <w:r w:rsidRPr="00415C98">
        <w:rPr>
          <w:b/>
          <w:lang w:val="en-US"/>
        </w:rPr>
        <w:t>Contact</w:t>
      </w:r>
    </w:p>
    <w:p w14:paraId="6F7A29CE" w14:textId="768EF260" w:rsidR="00B87E7F" w:rsidRPr="00415C98" w:rsidRDefault="00496474">
      <w:pPr>
        <w:pStyle w:val="Kontakt"/>
        <w:ind w:left="7230"/>
        <w:rPr>
          <w:lang w:val="en-US"/>
        </w:rPr>
      </w:pPr>
      <w:r>
        <w:rPr>
          <w:lang w:val="en-US"/>
        </w:rPr>
        <w:t>Kathy Burlew</w:t>
      </w:r>
    </w:p>
    <w:p w14:paraId="3CA2C829" w14:textId="3FC57D68" w:rsidR="00B87E7F" w:rsidRPr="00415C98" w:rsidRDefault="000B7A88" w:rsidP="00A81175">
      <w:pPr>
        <w:pStyle w:val="Kontakt"/>
        <w:ind w:left="7230"/>
        <w:rPr>
          <w:lang w:val="en-US"/>
        </w:rPr>
      </w:pPr>
      <w:r w:rsidRPr="00415C98">
        <w:rPr>
          <w:lang w:val="en-US"/>
        </w:rPr>
        <w:t>Marketing</w:t>
      </w:r>
      <w:r w:rsidR="00496474">
        <w:rPr>
          <w:lang w:val="en-US"/>
        </w:rPr>
        <w:t xml:space="preserve"> Communications</w:t>
      </w:r>
    </w:p>
    <w:p w14:paraId="4BE59E57" w14:textId="104458AB" w:rsidR="00B87E7F" w:rsidRPr="00AA4B2E" w:rsidRDefault="00B87E7F" w:rsidP="00A81175">
      <w:pPr>
        <w:pStyle w:val="Kontakt"/>
        <w:ind w:left="7230" w:right="-511"/>
        <w:rPr>
          <w:lang w:val="it-IT"/>
        </w:rPr>
      </w:pPr>
      <w:r w:rsidRPr="00AA4B2E">
        <w:rPr>
          <w:lang w:val="it-IT"/>
        </w:rPr>
        <w:t xml:space="preserve">Coperion </w:t>
      </w:r>
      <w:r w:rsidR="008609A9" w:rsidRPr="00AA4B2E">
        <w:rPr>
          <w:lang w:val="it-IT"/>
        </w:rPr>
        <w:t>K-Tron Salina, Inc.</w:t>
      </w:r>
    </w:p>
    <w:p w14:paraId="42F85A74" w14:textId="77777777" w:rsidR="008609A9" w:rsidRPr="00415C98" w:rsidRDefault="000B7A88" w:rsidP="000B7A88">
      <w:pPr>
        <w:pStyle w:val="Kontakt"/>
        <w:ind w:left="7230"/>
        <w:rPr>
          <w:lang w:val="en-US"/>
        </w:rPr>
      </w:pPr>
      <w:r w:rsidRPr="00415C98">
        <w:rPr>
          <w:lang w:val="en-US"/>
        </w:rPr>
        <w:t>606 North Front Street</w:t>
      </w:r>
    </w:p>
    <w:p w14:paraId="4CB2EEBA" w14:textId="203571E1" w:rsidR="00B87E7F" w:rsidRPr="00415C98" w:rsidRDefault="007909E0" w:rsidP="00A81175">
      <w:pPr>
        <w:pStyle w:val="Kontakt"/>
        <w:ind w:left="7230"/>
        <w:rPr>
          <w:lang w:val="en-US"/>
        </w:rPr>
      </w:pPr>
      <w:r>
        <w:rPr>
          <w:noProof/>
          <w:lang w:val="en-US" w:eastAsia="en-US"/>
        </w:rPr>
        <w:drawing>
          <wp:anchor distT="0" distB="0" distL="114300" distR="114300" simplePos="0" relativeHeight="251659264" behindDoc="1" locked="0" layoutInCell="1" allowOverlap="1" wp14:anchorId="3D5E7DFC" wp14:editId="08BA62F0">
            <wp:simplePos x="0" y="0"/>
            <wp:positionH relativeFrom="column">
              <wp:posOffset>-39370</wp:posOffset>
            </wp:positionH>
            <wp:positionV relativeFrom="paragraph">
              <wp:posOffset>84455</wp:posOffset>
            </wp:positionV>
            <wp:extent cx="2420620" cy="645795"/>
            <wp:effectExtent l="0" t="0" r="0" b="0"/>
            <wp:wrapTight wrapText="bothSides">
              <wp:wrapPolygon edited="0">
                <wp:start x="17849" y="2549"/>
                <wp:lineTo x="1190" y="5735"/>
                <wp:lineTo x="170" y="6372"/>
                <wp:lineTo x="170" y="16566"/>
                <wp:lineTo x="17849" y="19752"/>
                <wp:lineTo x="19039" y="19752"/>
                <wp:lineTo x="20059" y="18478"/>
                <wp:lineTo x="21249" y="15929"/>
                <wp:lineTo x="21419" y="7646"/>
                <wp:lineTo x="21079" y="5735"/>
                <wp:lineTo x="19039" y="2549"/>
                <wp:lineTo x="17849" y="2549"/>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terphex_logo.png"/>
                    <pic:cNvPicPr/>
                  </pic:nvPicPr>
                  <pic:blipFill>
                    <a:blip r:embed="rId11">
                      <a:extLst>
                        <a:ext uri="{28A0092B-C50C-407E-A947-70E740481C1C}">
                          <a14:useLocalDpi xmlns:a14="http://schemas.microsoft.com/office/drawing/2010/main" val="0"/>
                        </a:ext>
                      </a:extLst>
                    </a:blip>
                    <a:stretch>
                      <a:fillRect/>
                    </a:stretch>
                  </pic:blipFill>
                  <pic:spPr>
                    <a:xfrm>
                      <a:off x="0" y="0"/>
                      <a:ext cx="2420620" cy="645795"/>
                    </a:xfrm>
                    <a:prstGeom prst="rect">
                      <a:avLst/>
                    </a:prstGeom>
                  </pic:spPr>
                </pic:pic>
              </a:graphicData>
            </a:graphic>
            <wp14:sizeRelH relativeFrom="margin">
              <wp14:pctWidth>0</wp14:pctWidth>
            </wp14:sizeRelH>
            <wp14:sizeRelV relativeFrom="margin">
              <wp14:pctHeight>0</wp14:pctHeight>
            </wp14:sizeRelV>
          </wp:anchor>
        </w:drawing>
      </w:r>
      <w:r w:rsidR="000B7A88" w:rsidRPr="00415C98">
        <w:rPr>
          <w:lang w:val="en-US"/>
        </w:rPr>
        <w:t>Salina, KS 67401 USA</w:t>
      </w:r>
    </w:p>
    <w:p w14:paraId="077D4691" w14:textId="77777777" w:rsidR="00B87E7F" w:rsidRPr="00415C98" w:rsidRDefault="00B87E7F">
      <w:pPr>
        <w:pStyle w:val="Kontakt"/>
        <w:ind w:left="7230"/>
        <w:rPr>
          <w:lang w:val="en-US"/>
        </w:rPr>
      </w:pPr>
    </w:p>
    <w:p w14:paraId="6C08D8DA" w14:textId="71192AAB" w:rsidR="00B87E7F" w:rsidRPr="008E267C" w:rsidRDefault="00415C98" w:rsidP="00A81175">
      <w:pPr>
        <w:pStyle w:val="Kontakt"/>
        <w:ind w:left="7230"/>
      </w:pPr>
      <w:r w:rsidRPr="008E267C">
        <w:t>Tel:</w:t>
      </w:r>
      <w:r w:rsidR="008609A9" w:rsidRPr="008E267C">
        <w:t xml:space="preserve"> </w:t>
      </w:r>
      <w:r w:rsidRPr="008E267C">
        <w:t xml:space="preserve">+1 </w:t>
      </w:r>
      <w:r w:rsidR="008609A9" w:rsidRPr="008E267C">
        <w:t>(785) 825-38</w:t>
      </w:r>
      <w:r w:rsidR="00496474">
        <w:t>30</w:t>
      </w:r>
    </w:p>
    <w:p w14:paraId="2A741B88" w14:textId="0262FC8B" w:rsidR="00B87E7F" w:rsidRPr="008E267C" w:rsidRDefault="00496474" w:rsidP="00A81175">
      <w:pPr>
        <w:pStyle w:val="Kontakt"/>
        <w:ind w:left="7230" w:right="-186"/>
      </w:pPr>
      <w:r>
        <w:t>kathy</w:t>
      </w:r>
      <w:r w:rsidR="007909E0">
        <w:t>.</w:t>
      </w:r>
      <w:r>
        <w:t>burlew</w:t>
      </w:r>
      <w:r w:rsidR="007909E0">
        <w:t>@coperion</w:t>
      </w:r>
      <w:r w:rsidR="008609A9" w:rsidRPr="008E267C">
        <w:t>.com</w:t>
      </w:r>
    </w:p>
    <w:p w14:paraId="4350FF75" w14:textId="77777777" w:rsidR="00B87E7F" w:rsidRPr="008E267C" w:rsidRDefault="00B87E7F" w:rsidP="00A81175">
      <w:pPr>
        <w:pStyle w:val="Kontakt"/>
        <w:ind w:left="7230"/>
      </w:pPr>
      <w:r w:rsidRPr="008E267C">
        <w:t>www.</w:t>
      </w:r>
      <w:r w:rsidR="008609A9" w:rsidRPr="008E267C">
        <w:t>coperion</w:t>
      </w:r>
      <w:r w:rsidRPr="008E267C">
        <w:t>.com</w:t>
      </w:r>
    </w:p>
    <w:p w14:paraId="1564F72F" w14:textId="77777777" w:rsidR="00357A64" w:rsidRPr="008E267C" w:rsidRDefault="00357A64" w:rsidP="00357A64">
      <w:pPr>
        <w:snapToGrid w:val="0"/>
        <w:spacing w:line="360" w:lineRule="auto"/>
        <w:ind w:left="-72"/>
        <w:rPr>
          <w:rFonts w:cs="Arial"/>
          <w:color w:val="FF0000"/>
          <w:szCs w:val="22"/>
        </w:rPr>
      </w:pPr>
    </w:p>
    <w:p w14:paraId="082C6823" w14:textId="1D74ADCF" w:rsidR="00582CBF" w:rsidRPr="008D4845" w:rsidRDefault="007909E0" w:rsidP="000954FC">
      <w:pPr>
        <w:pStyle w:val="Pressemitteilung"/>
        <w:tabs>
          <w:tab w:val="left" w:pos="7200"/>
        </w:tabs>
        <w:rPr>
          <w:lang w:val="en-US"/>
        </w:rPr>
      </w:pPr>
      <w:r w:rsidRPr="008D4845">
        <w:rPr>
          <w:lang w:val="en-US"/>
        </w:rPr>
        <w:t xml:space="preserve">Coperion &amp; Coperion K-Tron Booth </w:t>
      </w:r>
      <w:r w:rsidR="0026136E" w:rsidRPr="008D4845">
        <w:rPr>
          <w:lang w:val="en-US"/>
        </w:rPr>
        <w:t>N</w:t>
      </w:r>
      <w:r w:rsidRPr="008D4845">
        <w:rPr>
          <w:lang w:val="en-US"/>
        </w:rPr>
        <w:t>o. 2</w:t>
      </w:r>
      <w:r w:rsidR="001B3FD7" w:rsidRPr="008D4845">
        <w:rPr>
          <w:lang w:val="en-US"/>
        </w:rPr>
        <w:t>2</w:t>
      </w:r>
      <w:r w:rsidRPr="008D4845">
        <w:rPr>
          <w:lang w:val="en-US"/>
        </w:rPr>
        <w:t>58</w:t>
      </w:r>
    </w:p>
    <w:p w14:paraId="20313913" w14:textId="77777777" w:rsidR="009518A0" w:rsidRPr="0094479B" w:rsidRDefault="009518A0" w:rsidP="009518A0">
      <w:pPr>
        <w:suppressAutoHyphens/>
        <w:spacing w:before="200"/>
        <w:rPr>
          <w:rFonts w:cs="Arial"/>
          <w:b/>
          <w:lang w:val="en-US" w:eastAsia="ar-SA"/>
        </w:rPr>
      </w:pPr>
      <w:r w:rsidRPr="0094479B">
        <w:rPr>
          <w:rFonts w:cs="Arial"/>
          <w:b/>
          <w:lang w:val="en-US" w:eastAsia="ar-SA"/>
        </w:rPr>
        <w:t>Press Release</w:t>
      </w:r>
    </w:p>
    <w:p w14:paraId="1B674175" w14:textId="77777777" w:rsidR="009518A0" w:rsidRPr="008A07C9" w:rsidRDefault="009518A0" w:rsidP="009518A0">
      <w:pPr>
        <w:suppressAutoHyphens/>
        <w:rPr>
          <w:rFonts w:cs="Arial"/>
          <w:sz w:val="24"/>
          <w:szCs w:val="21"/>
          <w:lang w:val="en-US" w:eastAsia="ar-SA"/>
        </w:rPr>
      </w:pPr>
    </w:p>
    <w:p w14:paraId="6346D7C7" w14:textId="66B783B4" w:rsidR="009518A0" w:rsidRDefault="00D2661C" w:rsidP="009518A0">
      <w:pPr>
        <w:suppressAutoHyphens/>
        <w:spacing w:after="120"/>
        <w:rPr>
          <w:rFonts w:cs="Arial"/>
          <w:b/>
          <w:sz w:val="28"/>
          <w:szCs w:val="28"/>
          <w:lang w:val="en-US" w:eastAsia="ar-SA"/>
        </w:rPr>
      </w:pPr>
      <w:r>
        <w:rPr>
          <w:rFonts w:cs="Arial"/>
          <w:b/>
          <w:sz w:val="28"/>
          <w:szCs w:val="28"/>
          <w:lang w:val="en-US" w:eastAsia="ar-SA"/>
        </w:rPr>
        <w:t>A Complete Solutions Partner for Continuous Processing – Extrusion. Feeding. Conveying.</w:t>
      </w:r>
    </w:p>
    <w:p w14:paraId="29BCC616" w14:textId="3F79170B" w:rsidR="001B3FD7" w:rsidRDefault="001B3FD7" w:rsidP="65000643">
      <w:pPr>
        <w:suppressAutoHyphens/>
        <w:spacing w:before="240" w:line="360" w:lineRule="auto"/>
        <w:rPr>
          <w:rFonts w:cs="Arial"/>
          <w:lang w:val="en-GB" w:eastAsia="ar-SA"/>
        </w:rPr>
      </w:pPr>
      <w:r w:rsidRPr="65000643">
        <w:rPr>
          <w:rFonts w:cs="Arial"/>
          <w:i/>
          <w:iCs/>
          <w:lang w:val="en-GB" w:eastAsia="ar-SA"/>
        </w:rPr>
        <w:t>Salina, KS</w:t>
      </w:r>
      <w:r w:rsidR="009518A0" w:rsidRPr="65000643">
        <w:rPr>
          <w:rFonts w:cs="Arial"/>
          <w:i/>
          <w:iCs/>
          <w:lang w:val="en-GB" w:eastAsia="ar-SA"/>
        </w:rPr>
        <w:t>, USA (</w:t>
      </w:r>
      <w:r w:rsidR="00F05104" w:rsidRPr="65000643">
        <w:rPr>
          <w:rFonts w:cs="Arial"/>
          <w:i/>
          <w:iCs/>
          <w:lang w:val="en-GB" w:eastAsia="ar-SA"/>
        </w:rPr>
        <w:t>May</w:t>
      </w:r>
      <w:r w:rsidRPr="65000643">
        <w:rPr>
          <w:rFonts w:cs="Arial"/>
          <w:i/>
          <w:iCs/>
          <w:lang w:val="en-GB" w:eastAsia="ar-SA"/>
        </w:rPr>
        <w:t xml:space="preserve"> </w:t>
      </w:r>
      <w:r w:rsidR="009518A0" w:rsidRPr="65000643">
        <w:rPr>
          <w:rFonts w:cs="Arial"/>
          <w:i/>
          <w:iCs/>
          <w:lang w:val="en-GB" w:eastAsia="ar-SA"/>
        </w:rPr>
        <w:t>20</w:t>
      </w:r>
      <w:r w:rsidRPr="65000643">
        <w:rPr>
          <w:rFonts w:cs="Arial"/>
          <w:i/>
          <w:iCs/>
          <w:lang w:val="en-GB" w:eastAsia="ar-SA"/>
        </w:rPr>
        <w:t>22</w:t>
      </w:r>
      <w:r w:rsidR="009518A0" w:rsidRPr="65000643">
        <w:rPr>
          <w:rFonts w:cs="Arial"/>
          <w:i/>
          <w:iCs/>
          <w:lang w:val="en-GB" w:eastAsia="ar-SA"/>
        </w:rPr>
        <w:t>) –</w:t>
      </w:r>
      <w:r w:rsidRPr="65000643">
        <w:rPr>
          <w:rFonts w:cs="Arial"/>
          <w:i/>
          <w:iCs/>
          <w:lang w:val="en-GB" w:eastAsia="ar-SA"/>
        </w:rPr>
        <w:t xml:space="preserve"> </w:t>
      </w:r>
      <w:proofErr w:type="spellStart"/>
      <w:r w:rsidR="00B907BC">
        <w:rPr>
          <w:rStyle w:val="Hyperlink"/>
          <w:color w:val="auto"/>
          <w:u w:val="none"/>
          <w:lang w:val="en-US"/>
        </w:rPr>
        <w:t>Interphex</w:t>
      </w:r>
      <w:proofErr w:type="spellEnd"/>
      <w:r>
        <w:rPr>
          <w:rStyle w:val="Hyperlink"/>
          <w:color w:val="auto"/>
          <w:u w:val="none"/>
          <w:lang w:val="en-US"/>
        </w:rPr>
        <w:t xml:space="preserve"> is scheduled for May 24-26, 2022</w:t>
      </w:r>
      <w:r w:rsidR="00DB6B37">
        <w:rPr>
          <w:rStyle w:val="Hyperlink"/>
          <w:color w:val="auto"/>
          <w:u w:val="none"/>
          <w:lang w:val="en-US"/>
        </w:rPr>
        <w:t>,</w:t>
      </w:r>
      <w:r>
        <w:rPr>
          <w:rStyle w:val="Hyperlink"/>
          <w:color w:val="auto"/>
          <w:u w:val="none"/>
          <w:lang w:val="en-US"/>
        </w:rPr>
        <w:t xml:space="preserve"> in </w:t>
      </w:r>
      <w:r w:rsidR="00B907BC">
        <w:rPr>
          <w:rStyle w:val="Hyperlink"/>
          <w:color w:val="auto"/>
          <w:u w:val="none"/>
          <w:lang w:val="en-US"/>
        </w:rPr>
        <w:t>New York City, NY</w:t>
      </w:r>
      <w:r w:rsidR="00F84A5D">
        <w:rPr>
          <w:rStyle w:val="Hyperlink"/>
          <w:color w:val="auto"/>
          <w:u w:val="none"/>
          <w:lang w:val="en-US"/>
        </w:rPr>
        <w:t>, Jacob Javits Center</w:t>
      </w:r>
      <w:r>
        <w:rPr>
          <w:rStyle w:val="Hyperlink"/>
          <w:color w:val="auto"/>
          <w:u w:val="none"/>
          <w:lang w:val="en-US"/>
        </w:rPr>
        <w:t>.</w:t>
      </w:r>
      <w:r w:rsidR="009518A0" w:rsidRPr="00B907BC">
        <w:rPr>
          <w:rStyle w:val="Hyperlink"/>
          <w:color w:val="auto"/>
          <w:u w:val="none"/>
          <w:lang w:val="en-US"/>
        </w:rPr>
        <w:t xml:space="preserve"> </w:t>
      </w:r>
      <w:r>
        <w:rPr>
          <w:rStyle w:val="Hyperlink"/>
          <w:color w:val="auto"/>
          <w:u w:val="none"/>
          <w:lang w:val="en-US"/>
        </w:rPr>
        <w:t xml:space="preserve">To meet the growing demands of continuous processing in pharmaceutical and nutraceutical industries, </w:t>
      </w:r>
      <w:r w:rsidRPr="65000643">
        <w:rPr>
          <w:rFonts w:cs="Arial"/>
          <w:lang w:val="en-GB" w:eastAsia="ar-SA"/>
        </w:rPr>
        <w:t>Coperion and Coperion K-Tron</w:t>
      </w:r>
      <w:r w:rsidR="003E7C3B" w:rsidRPr="65000643">
        <w:rPr>
          <w:rFonts w:cs="Arial"/>
          <w:lang w:val="en-GB" w:eastAsia="ar-SA"/>
        </w:rPr>
        <w:t xml:space="preserve">, Booth #2258, </w:t>
      </w:r>
      <w:r w:rsidRPr="65000643">
        <w:rPr>
          <w:rFonts w:cs="Arial"/>
          <w:lang w:val="en-GB" w:eastAsia="ar-SA"/>
        </w:rPr>
        <w:t xml:space="preserve">will </w:t>
      </w:r>
      <w:r w:rsidRPr="008D4845">
        <w:rPr>
          <w:rFonts w:cs="Arial"/>
          <w:sz w:val="21"/>
          <w:szCs w:val="21"/>
          <w:lang w:val="en-US"/>
        </w:rPr>
        <w:t xml:space="preserve">focus on </w:t>
      </w:r>
      <w:r w:rsidRPr="65000643">
        <w:rPr>
          <w:rFonts w:cs="Arial"/>
          <w:lang w:val="en-US"/>
        </w:rPr>
        <w:t>continuous processes and their newest</w:t>
      </w:r>
      <w:bookmarkStart w:id="0" w:name="_Hlk100816591"/>
      <w:r w:rsidRPr="65000643">
        <w:rPr>
          <w:rFonts w:cs="Arial"/>
          <w:lang w:val="en-US"/>
        </w:rPr>
        <w:t xml:space="preserve"> innovative solutions for optimal feeding and refill accuracy</w:t>
      </w:r>
      <w:bookmarkEnd w:id="0"/>
      <w:r w:rsidRPr="65000643">
        <w:rPr>
          <w:rFonts w:cs="Arial"/>
          <w:lang w:val="en-US"/>
        </w:rPr>
        <w:t xml:space="preserve">, while demonstrating how they </w:t>
      </w:r>
      <w:r w:rsidRPr="008D4845">
        <w:rPr>
          <w:rFonts w:cs="Arial"/>
          <w:shd w:val="clear" w:color="auto" w:fill="FFFFFF"/>
          <w:lang w:val="en-US"/>
        </w:rPr>
        <w:t>provide single source solutions for extrusion, feeding and conveying applications. </w:t>
      </w:r>
      <w:r w:rsidRPr="008D4845">
        <w:rPr>
          <w:rFonts w:cs="Arial"/>
          <w:color w:val="111111"/>
          <w:shd w:val="clear" w:color="auto" w:fill="FFFFFF"/>
          <w:lang w:val="en-US"/>
        </w:rPr>
        <w:t xml:space="preserve"> Applications for automated batch dispensing will also be presented.  </w:t>
      </w:r>
      <w:bookmarkStart w:id="1" w:name="_Hlk100741311"/>
      <w:r w:rsidRPr="65000643">
        <w:rPr>
          <w:rFonts w:cs="Arial"/>
          <w:lang w:val="en-GB" w:eastAsia="ar-SA"/>
        </w:rPr>
        <w:t>Exhibits on display</w:t>
      </w:r>
      <w:r w:rsidR="009D6A50" w:rsidRPr="65000643">
        <w:rPr>
          <w:rFonts w:cs="Arial"/>
          <w:lang w:val="en-GB" w:eastAsia="ar-SA"/>
        </w:rPr>
        <w:t xml:space="preserve"> in the booth will</w:t>
      </w:r>
      <w:r w:rsidRPr="65000643">
        <w:rPr>
          <w:rFonts w:cs="Arial"/>
          <w:lang w:val="en-GB" w:eastAsia="ar-SA"/>
        </w:rPr>
        <w:t xml:space="preserve"> include </w:t>
      </w:r>
      <w:r w:rsidR="00775D8B" w:rsidRPr="65000643">
        <w:rPr>
          <w:rFonts w:cs="Arial"/>
          <w:lang w:val="en-GB" w:eastAsia="ar-SA"/>
        </w:rPr>
        <w:t xml:space="preserve">a </w:t>
      </w:r>
      <w:r w:rsidR="001047D4" w:rsidRPr="65000643">
        <w:rPr>
          <w:rFonts w:cs="Arial"/>
          <w:lang w:val="en-GB" w:eastAsia="ar-SA"/>
        </w:rPr>
        <w:t xml:space="preserve">MT16 16mm twin screw tablet press feeder, </w:t>
      </w:r>
      <w:r w:rsidRPr="65000643">
        <w:rPr>
          <w:rFonts w:cs="Arial"/>
          <w:lang w:val="en-GB" w:eastAsia="ar-SA"/>
        </w:rPr>
        <w:t>K3</w:t>
      </w:r>
      <w:r w:rsidR="009D6A50" w:rsidRPr="65000643">
        <w:rPr>
          <w:rFonts w:cs="Arial"/>
          <w:lang w:val="en-GB" w:eastAsia="ar-SA"/>
        </w:rPr>
        <w:t xml:space="preserve"> pharma</w:t>
      </w:r>
      <w:r w:rsidRPr="65000643">
        <w:rPr>
          <w:rFonts w:cs="Arial"/>
          <w:lang w:val="en-GB" w:eastAsia="ar-SA"/>
        </w:rPr>
        <w:t xml:space="preserve"> loss-in-weight feeder (</w:t>
      </w:r>
      <w:r w:rsidR="00775D8B" w:rsidRPr="65000643">
        <w:rPr>
          <w:rFonts w:cs="Arial"/>
          <w:lang w:val="en-GB" w:eastAsia="ar-SA"/>
        </w:rPr>
        <w:t>PH-</w:t>
      </w:r>
      <w:r w:rsidRPr="65000643">
        <w:rPr>
          <w:rFonts w:cs="Arial"/>
          <w:lang w:val="en-GB" w:eastAsia="ar-SA"/>
        </w:rPr>
        <w:t>QT35)</w:t>
      </w:r>
      <w:r w:rsidR="001047D4" w:rsidRPr="65000643">
        <w:rPr>
          <w:rFonts w:cs="Arial"/>
          <w:lang w:val="en-GB" w:eastAsia="ar-SA"/>
        </w:rPr>
        <w:t xml:space="preserve"> and</w:t>
      </w:r>
      <w:r w:rsidRPr="65000643">
        <w:rPr>
          <w:rFonts w:cs="Arial"/>
          <w:lang w:val="en-GB" w:eastAsia="ar-SA"/>
        </w:rPr>
        <w:t xml:space="preserve"> </w:t>
      </w:r>
      <w:r w:rsidR="00775D8B" w:rsidRPr="65000643">
        <w:rPr>
          <w:rFonts w:cs="Arial"/>
          <w:lang w:val="en-GB" w:eastAsia="ar-SA"/>
        </w:rPr>
        <w:t xml:space="preserve">a </w:t>
      </w:r>
      <w:r w:rsidRPr="65000643">
        <w:rPr>
          <w:rFonts w:cs="Arial"/>
          <w:lang w:val="en-GB" w:eastAsia="ar-SA"/>
        </w:rPr>
        <w:t>P</w:t>
      </w:r>
      <w:r w:rsidR="00ED69B4" w:rsidRPr="65000643">
        <w:rPr>
          <w:rFonts w:cs="Arial"/>
          <w:lang w:val="en-GB" w:eastAsia="ar-SA"/>
        </w:rPr>
        <w:t>30</w:t>
      </w:r>
      <w:r w:rsidRPr="65000643">
        <w:rPr>
          <w:rFonts w:cs="Arial"/>
          <w:lang w:val="en-GB" w:eastAsia="ar-SA"/>
        </w:rPr>
        <w:t xml:space="preserve"> vacuum sequencing sanitary powder receiver.</w:t>
      </w:r>
      <w:bookmarkEnd w:id="1"/>
    </w:p>
    <w:p w14:paraId="61252A97" w14:textId="64CA3946" w:rsidR="001B3FD7" w:rsidRDefault="001B3FD7" w:rsidP="00DA06FD">
      <w:pPr>
        <w:spacing w:line="360" w:lineRule="auto"/>
        <w:rPr>
          <w:rStyle w:val="Hyperlink"/>
          <w:color w:val="auto"/>
          <w:u w:val="none"/>
          <w:lang w:val="en-US"/>
        </w:rPr>
      </w:pPr>
    </w:p>
    <w:p w14:paraId="37870EBE" w14:textId="7BB4A64B" w:rsidR="00964EBF" w:rsidRPr="00F05104" w:rsidRDefault="00964EBF" w:rsidP="00964EBF">
      <w:pPr>
        <w:spacing w:line="360" w:lineRule="auto"/>
        <w:rPr>
          <w:rStyle w:val="Hyperlink"/>
          <w:rFonts w:cs="Arial"/>
          <w:b/>
          <w:szCs w:val="22"/>
          <w:u w:val="none"/>
          <w:lang w:val="en-US"/>
        </w:rPr>
      </w:pPr>
      <w:r w:rsidRPr="00F05104">
        <w:rPr>
          <w:rStyle w:val="Hyperlink"/>
          <w:rFonts w:cs="Arial"/>
          <w:b/>
          <w:color w:val="auto"/>
          <w:szCs w:val="22"/>
          <w:u w:val="none"/>
          <w:lang w:val="en-US"/>
        </w:rPr>
        <w:t>Tablet Press Lubricant Feeder</w:t>
      </w:r>
    </w:p>
    <w:p w14:paraId="534D6065" w14:textId="4578BBC5" w:rsidR="00964EBF" w:rsidRPr="00F05104" w:rsidRDefault="00964EBF" w:rsidP="65000643">
      <w:pPr>
        <w:spacing w:line="360" w:lineRule="auto"/>
        <w:rPr>
          <w:rFonts w:cs="Arial"/>
          <w:lang w:val="en-US"/>
        </w:rPr>
      </w:pPr>
      <w:r w:rsidRPr="65000643">
        <w:rPr>
          <w:rFonts w:cs="Arial"/>
          <w:lang w:val="en-US"/>
        </w:rPr>
        <w:t xml:space="preserve">This Tablet Press Lubricant Feeder is an adaptation of Coperion K-Tron’s sanitary pharmaceutical design twin screw </w:t>
      </w:r>
      <w:proofErr w:type="spellStart"/>
      <w:r w:rsidRPr="65000643">
        <w:rPr>
          <w:rFonts w:cs="Arial"/>
          <w:lang w:val="en-US"/>
        </w:rPr>
        <w:t>microfeeder</w:t>
      </w:r>
      <w:proofErr w:type="spellEnd"/>
      <w:r w:rsidRPr="65000643">
        <w:rPr>
          <w:rFonts w:cs="Arial"/>
          <w:lang w:val="en-US"/>
        </w:rPr>
        <w:t xml:space="preserve"> line. </w:t>
      </w:r>
      <w:r w:rsidRPr="65000643">
        <w:rPr>
          <w:rStyle w:val="Hyperlink"/>
          <w:rFonts w:cs="Arial"/>
          <w:color w:val="auto"/>
          <w:u w:val="none"/>
          <w:lang w:val="en-US"/>
        </w:rPr>
        <w:t xml:space="preserve">External Spray Lubrication is an ideal approach to adding lubricant direct to the tool and die of the press, without risk of </w:t>
      </w:r>
      <w:r w:rsidR="00B70040" w:rsidRPr="65000643">
        <w:rPr>
          <w:rStyle w:val="Hyperlink"/>
          <w:rFonts w:cs="Arial"/>
          <w:color w:val="auto"/>
          <w:u w:val="none"/>
          <w:lang w:val="en-US"/>
        </w:rPr>
        <w:t>over-</w:t>
      </w:r>
      <w:r w:rsidRPr="65000643">
        <w:rPr>
          <w:rStyle w:val="Hyperlink"/>
          <w:rFonts w:cs="Arial"/>
          <w:color w:val="auto"/>
          <w:u w:val="none"/>
          <w:lang w:val="en-US"/>
        </w:rPr>
        <w:t xml:space="preserve">lubrication, which also minimizes the lubricant percentage in the formulation. </w:t>
      </w:r>
      <w:r w:rsidRPr="65000643">
        <w:rPr>
          <w:rFonts w:cs="Arial"/>
          <w:lang w:val="en-US"/>
        </w:rPr>
        <w:t xml:space="preserve">The Coperion K-Tron tablet press feeder offers an automated, </w:t>
      </w:r>
      <w:r w:rsidRPr="00EA42B2">
        <w:rPr>
          <w:rFonts w:cs="Arial"/>
          <w:lang w:val="en-US"/>
        </w:rPr>
        <w:t>consistent, continuous</w:t>
      </w:r>
      <w:r w:rsidRPr="65000643">
        <w:rPr>
          <w:rFonts w:cs="Arial"/>
          <w:lang w:val="en-US"/>
        </w:rPr>
        <w:t xml:space="preserve"> feed rate, providing uniform coating of the tablet tools and avoiding sticking problems. This external lubrication provides many additional potential benefits to manufacturers of tablet solid dosage forms</w:t>
      </w:r>
      <w:r w:rsidR="00B669B3" w:rsidRPr="65000643">
        <w:rPr>
          <w:rFonts w:cs="Arial"/>
          <w:lang w:val="en-US"/>
        </w:rPr>
        <w:t>,</w:t>
      </w:r>
      <w:r w:rsidRPr="65000643">
        <w:rPr>
          <w:rFonts w:cs="Arial"/>
          <w:lang w:val="en-US"/>
        </w:rPr>
        <w:t xml:space="preserve"> including improved tablet hardness and dissolution properties. The Coperion K-Tron Smart </w:t>
      </w:r>
      <w:r w:rsidRPr="65000643">
        <w:rPr>
          <w:rFonts w:cs="Arial"/>
          <w:lang w:val="en-US"/>
        </w:rPr>
        <w:lastRenderedPageBreak/>
        <w:t xml:space="preserve">Force Transducer (SFT) </w:t>
      </w:r>
      <w:r w:rsidR="00B669B3" w:rsidRPr="65000643">
        <w:rPr>
          <w:rFonts w:cs="Arial"/>
          <w:lang w:val="en-US"/>
        </w:rPr>
        <w:t>weighing</w:t>
      </w:r>
      <w:r w:rsidRPr="65000643">
        <w:rPr>
          <w:rFonts w:cs="Arial"/>
          <w:lang w:val="en-US"/>
        </w:rPr>
        <w:t xml:space="preserve"> technology, coupled with a venturi-type dispersion method, produce </w:t>
      </w:r>
      <w:r w:rsidR="00121D43" w:rsidRPr="65000643">
        <w:rPr>
          <w:rFonts w:cs="Arial"/>
          <w:lang w:val="en-US"/>
        </w:rPr>
        <w:t xml:space="preserve">a </w:t>
      </w:r>
      <w:r w:rsidRPr="65000643">
        <w:rPr>
          <w:rFonts w:cs="Arial"/>
          <w:lang w:val="en-US"/>
        </w:rPr>
        <w:t xml:space="preserve">consistent, measurable and </w:t>
      </w:r>
      <w:proofErr w:type="spellStart"/>
      <w:r w:rsidRPr="65000643">
        <w:rPr>
          <w:rFonts w:cs="Arial"/>
          <w:lang w:val="en-US"/>
        </w:rPr>
        <w:t>validatable</w:t>
      </w:r>
      <w:proofErr w:type="spellEnd"/>
      <w:r w:rsidRPr="65000643">
        <w:rPr>
          <w:rFonts w:cs="Arial"/>
          <w:lang w:val="en-US"/>
        </w:rPr>
        <w:t xml:space="preserve"> mass flow of lubricant powder. </w:t>
      </w:r>
    </w:p>
    <w:p w14:paraId="5A77E692" w14:textId="77777777" w:rsidR="00964EBF" w:rsidRPr="00F05104" w:rsidRDefault="00964EBF" w:rsidP="00964EBF">
      <w:pPr>
        <w:spacing w:line="360" w:lineRule="auto"/>
        <w:rPr>
          <w:rStyle w:val="Hyperlink"/>
          <w:rFonts w:cs="Arial"/>
          <w:color w:val="auto"/>
          <w:szCs w:val="22"/>
          <w:u w:val="none"/>
          <w:lang w:val="en-US"/>
        </w:rPr>
      </w:pPr>
    </w:p>
    <w:p w14:paraId="46148901" w14:textId="49D0DF7D" w:rsidR="00964EBF" w:rsidRPr="00F05104" w:rsidRDefault="00964EBF" w:rsidP="65000643">
      <w:pPr>
        <w:spacing w:line="360" w:lineRule="auto"/>
        <w:rPr>
          <w:rFonts w:cs="Arial"/>
          <w:lang w:val="en-US"/>
        </w:rPr>
      </w:pPr>
      <w:r w:rsidRPr="00F05104">
        <w:rPr>
          <w:rFonts w:cs="Arial"/>
          <w:szCs w:val="22"/>
          <w:lang w:val="en-US"/>
        </w:rPr>
        <w:t xml:space="preserve">The Coperion K-Tron </w:t>
      </w:r>
      <w:proofErr w:type="spellStart"/>
      <w:r w:rsidRPr="00F05104">
        <w:rPr>
          <w:rFonts w:cs="Arial"/>
          <w:szCs w:val="22"/>
          <w:lang w:val="en-US"/>
        </w:rPr>
        <w:t>microfeeder</w:t>
      </w:r>
      <w:proofErr w:type="spellEnd"/>
      <w:r w:rsidRPr="00F05104">
        <w:rPr>
          <w:rFonts w:cs="Arial"/>
          <w:szCs w:val="22"/>
          <w:lang w:val="en-US"/>
        </w:rPr>
        <w:t xml:space="preserve"> for </w:t>
      </w:r>
      <w:proofErr w:type="gramStart"/>
      <w:r w:rsidRPr="00F05104">
        <w:rPr>
          <w:rFonts w:cs="Arial"/>
          <w:szCs w:val="22"/>
          <w:lang w:val="en-US"/>
        </w:rPr>
        <w:t>low rate</w:t>
      </w:r>
      <w:proofErr w:type="gramEnd"/>
      <w:r w:rsidRPr="00F05104">
        <w:rPr>
          <w:rFonts w:cs="Arial"/>
          <w:szCs w:val="22"/>
          <w:lang w:val="en-US"/>
        </w:rPr>
        <w:t xml:space="preserve"> powder feeding includes design options for handling difficult flowing materials. </w:t>
      </w:r>
      <w:r w:rsidR="00A31F36">
        <w:rPr>
          <w:rFonts w:cs="Arial"/>
          <w:szCs w:val="22"/>
          <w:lang w:val="en-US"/>
        </w:rPr>
        <w:t>Between them, t</w:t>
      </w:r>
      <w:r w:rsidRPr="00F05104">
        <w:rPr>
          <w:rFonts w:cs="Arial"/>
          <w:szCs w:val="22"/>
          <w:lang w:val="en-US"/>
        </w:rPr>
        <w:t xml:space="preserve">he </w:t>
      </w:r>
      <w:r w:rsidR="006C4CD8">
        <w:rPr>
          <w:rFonts w:cs="Arial"/>
          <w:szCs w:val="22"/>
          <w:lang w:val="en-US"/>
        </w:rPr>
        <w:t xml:space="preserve">two </w:t>
      </w:r>
      <w:proofErr w:type="spellStart"/>
      <w:r w:rsidRPr="00F05104">
        <w:rPr>
          <w:rFonts w:cs="Arial"/>
          <w:szCs w:val="22"/>
          <w:lang w:val="en-US"/>
        </w:rPr>
        <w:t>microfeeder</w:t>
      </w:r>
      <w:proofErr w:type="spellEnd"/>
      <w:r w:rsidRPr="00F05104">
        <w:rPr>
          <w:rFonts w:cs="Arial"/>
          <w:szCs w:val="22"/>
          <w:lang w:val="en-US"/>
        </w:rPr>
        <w:t xml:space="preserve"> </w:t>
      </w:r>
      <w:r w:rsidR="006C4CD8">
        <w:rPr>
          <w:rFonts w:cs="Arial"/>
          <w:szCs w:val="22"/>
          <w:lang w:val="en-US"/>
        </w:rPr>
        <w:t xml:space="preserve">models </w:t>
      </w:r>
      <w:r w:rsidRPr="00F05104">
        <w:rPr>
          <w:rFonts w:cs="Arial"/>
          <w:szCs w:val="22"/>
          <w:lang w:val="en-US"/>
        </w:rPr>
        <w:t xml:space="preserve">can handle </w:t>
      </w:r>
      <w:r w:rsidR="00DA25F3">
        <w:rPr>
          <w:rFonts w:cs="Arial"/>
          <w:szCs w:val="22"/>
          <w:lang w:val="en-US"/>
        </w:rPr>
        <w:t xml:space="preserve">feed </w:t>
      </w:r>
      <w:r w:rsidRPr="00F05104">
        <w:rPr>
          <w:rFonts w:cs="Arial"/>
          <w:szCs w:val="22"/>
          <w:lang w:val="en-US"/>
        </w:rPr>
        <w:t>rates</w:t>
      </w:r>
      <w:r w:rsidR="006C4CD8">
        <w:rPr>
          <w:rFonts w:cs="Arial"/>
          <w:szCs w:val="22"/>
          <w:lang w:val="en-US"/>
        </w:rPr>
        <w:t xml:space="preserve"> </w:t>
      </w:r>
      <w:r w:rsidRPr="65000643">
        <w:rPr>
          <w:rFonts w:cs="Arial"/>
          <w:lang w:val="en-US"/>
        </w:rPr>
        <w:t xml:space="preserve">from 0.032 – </w:t>
      </w:r>
      <w:r w:rsidRPr="00EA42B2">
        <w:rPr>
          <w:rFonts w:cs="Arial"/>
          <w:lang w:val="en-US"/>
        </w:rPr>
        <w:t>2 kg/h or higher</w:t>
      </w:r>
      <w:r w:rsidRPr="65000643">
        <w:rPr>
          <w:rFonts w:cs="Arial"/>
          <w:lang w:val="en-US"/>
        </w:rPr>
        <w:t xml:space="preserve"> of lubricant and </w:t>
      </w:r>
      <w:r w:rsidR="00647BFD" w:rsidRPr="65000643">
        <w:rPr>
          <w:rFonts w:cs="Arial"/>
          <w:lang w:val="en-US"/>
        </w:rPr>
        <w:t xml:space="preserve">are </w:t>
      </w:r>
      <w:r w:rsidRPr="65000643">
        <w:rPr>
          <w:rFonts w:cs="Arial"/>
          <w:lang w:val="en-US"/>
        </w:rPr>
        <w:t>also available with interchangeable 12 mm and 16 mm twin screw feeding modules for maximum feed</w:t>
      </w:r>
      <w:r w:rsidR="00DA25F3" w:rsidRPr="65000643">
        <w:rPr>
          <w:rFonts w:cs="Arial"/>
          <w:lang w:val="en-US"/>
        </w:rPr>
        <w:t xml:space="preserve"> </w:t>
      </w:r>
      <w:r w:rsidRPr="65000643">
        <w:rPr>
          <w:rFonts w:cs="Arial"/>
          <w:lang w:val="en-US"/>
        </w:rPr>
        <w:t>rate flexibility. Although the feeder is available in both volumetric and gravimetric designs, use of the gravimetric model enables validation of product mass flow and ensures higher accuracy.</w:t>
      </w:r>
    </w:p>
    <w:p w14:paraId="3AEE5771" w14:textId="649D6191" w:rsidR="00964EBF" w:rsidRPr="00F05104" w:rsidRDefault="00964EBF" w:rsidP="00964EBF">
      <w:pPr>
        <w:spacing w:line="360" w:lineRule="auto"/>
        <w:rPr>
          <w:rFonts w:cs="Arial"/>
          <w:szCs w:val="22"/>
          <w:lang w:val="en-US"/>
        </w:rPr>
      </w:pPr>
    </w:p>
    <w:p w14:paraId="28BC7C48" w14:textId="77777777" w:rsidR="00964EBF" w:rsidRPr="00F05104" w:rsidRDefault="00964EBF" w:rsidP="00964EBF">
      <w:pPr>
        <w:spacing w:line="360" w:lineRule="auto"/>
        <w:rPr>
          <w:rFonts w:cs="Arial"/>
          <w:b/>
          <w:szCs w:val="22"/>
          <w:lang w:val="en-US"/>
        </w:rPr>
      </w:pPr>
      <w:r w:rsidRPr="00F05104">
        <w:rPr>
          <w:rFonts w:cs="Arial"/>
          <w:b/>
          <w:szCs w:val="22"/>
          <w:lang w:val="en-US"/>
        </w:rPr>
        <w:t>Highly Accurate K3-PH line of Pharmaceutical Feeders</w:t>
      </w:r>
    </w:p>
    <w:p w14:paraId="61F898C4" w14:textId="318612F5" w:rsidR="00964EBF" w:rsidRPr="00F05104" w:rsidRDefault="00964EBF" w:rsidP="00964EBF">
      <w:pPr>
        <w:spacing w:line="360" w:lineRule="auto"/>
        <w:rPr>
          <w:rFonts w:cs="Arial"/>
          <w:szCs w:val="22"/>
          <w:lang w:val="en-US"/>
        </w:rPr>
      </w:pPr>
      <w:r w:rsidRPr="00F05104">
        <w:rPr>
          <w:rFonts w:cs="Arial"/>
          <w:szCs w:val="22"/>
          <w:lang w:val="en-US"/>
        </w:rPr>
        <w:t xml:space="preserve">The Coperion K-Tron line of K3-PH feeders have been specifically designed to meet the growing demands of continuous processing in the pharmaceutical industry. </w:t>
      </w:r>
      <w:r w:rsidRPr="00F05104">
        <w:rPr>
          <w:rStyle w:val="Hyperlink"/>
          <w:rFonts w:cs="Arial"/>
          <w:color w:val="auto"/>
          <w:szCs w:val="22"/>
          <w:u w:val="none"/>
          <w:lang w:val="en-US"/>
        </w:rPr>
        <w:t>Due to the use of a smaller D4 platform scale incorporating the highly accurate Smart Force Transducer (SFT) weighing technology, these feeders require significantly less floor space compared to previous models.</w:t>
      </w:r>
      <w:r w:rsidRPr="00F05104">
        <w:rPr>
          <w:rFonts w:cs="Arial"/>
          <w:szCs w:val="22"/>
          <w:lang w:val="en-US"/>
        </w:rPr>
        <w:t xml:space="preserve"> The feeder’s modular </w:t>
      </w:r>
      <w:proofErr w:type="gramStart"/>
      <w:r w:rsidRPr="00F05104">
        <w:rPr>
          <w:rFonts w:cs="Arial"/>
          <w:szCs w:val="22"/>
          <w:lang w:val="en-US"/>
        </w:rPr>
        <w:t>quick change</w:t>
      </w:r>
      <w:proofErr w:type="gramEnd"/>
      <w:r w:rsidRPr="00F05104">
        <w:rPr>
          <w:rFonts w:cs="Arial"/>
          <w:szCs w:val="22"/>
          <w:lang w:val="en-US"/>
        </w:rPr>
        <w:t xml:space="preserve"> design allows the easy exchange of feeder types and sizes, using the same scale and drive for fast adaptation to new processes and formulations while also ensuring easy cleaning and maintenance. The </w:t>
      </w:r>
      <w:proofErr w:type="gramStart"/>
      <w:r w:rsidRPr="00F05104">
        <w:rPr>
          <w:rFonts w:cs="Arial"/>
          <w:szCs w:val="22"/>
          <w:lang w:val="en-US"/>
        </w:rPr>
        <w:t>quick change</w:t>
      </w:r>
      <w:proofErr w:type="gramEnd"/>
      <w:r w:rsidRPr="00F05104">
        <w:rPr>
          <w:rFonts w:cs="Arial"/>
          <w:szCs w:val="22"/>
          <w:lang w:val="en-US"/>
        </w:rPr>
        <w:t xml:space="preserve"> feeder bowl, agitator and screw combinations can be quickly decoupled from the feeder drive provide for easy and fast changeover and cleaning of the feeders. The updated modular concept features a newly developed drive using a servo motor which helps reduce the overall footprint and offers a much larger turndown range, including low feed rates. For an optimal Wash-in-Place (WIP) result, every unit has an integral </w:t>
      </w:r>
      <w:proofErr w:type="gramStart"/>
      <w:r w:rsidRPr="00F05104">
        <w:rPr>
          <w:rFonts w:cs="Arial"/>
          <w:szCs w:val="22"/>
          <w:lang w:val="en-US"/>
        </w:rPr>
        <w:t>2 degree</w:t>
      </w:r>
      <w:proofErr w:type="gramEnd"/>
      <w:r w:rsidRPr="00F05104">
        <w:rPr>
          <w:rFonts w:cs="Arial"/>
          <w:szCs w:val="22"/>
          <w:lang w:val="en-US"/>
        </w:rPr>
        <w:t xml:space="preserve"> pitch facilitating maximum drainage during the cleaning processes. The modular K3-PH line is designed to provide for a cluster arrangement of 6 or more feeders, ideal for </w:t>
      </w:r>
      <w:r w:rsidR="00AE7935" w:rsidRPr="00F05104">
        <w:rPr>
          <w:rFonts w:cs="Arial"/>
          <w:szCs w:val="22"/>
          <w:lang w:val="en-US"/>
        </w:rPr>
        <w:t>multi</w:t>
      </w:r>
      <w:r w:rsidR="00AE7935">
        <w:rPr>
          <w:rFonts w:cs="Arial"/>
          <w:szCs w:val="22"/>
          <w:lang w:val="en-US"/>
        </w:rPr>
        <w:t>-</w:t>
      </w:r>
      <w:r w:rsidRPr="00F05104">
        <w:rPr>
          <w:rFonts w:cs="Arial"/>
          <w:szCs w:val="22"/>
          <w:lang w:val="en-US"/>
        </w:rPr>
        <w:t>component continuous processes, such as continuous extrusion, granulation, or direct compression.</w:t>
      </w:r>
    </w:p>
    <w:p w14:paraId="19098367" w14:textId="77777777" w:rsidR="00964EBF" w:rsidRPr="00F05104" w:rsidRDefault="00964EBF" w:rsidP="00964EBF">
      <w:pPr>
        <w:spacing w:line="360" w:lineRule="auto"/>
        <w:rPr>
          <w:rFonts w:cs="Arial"/>
          <w:szCs w:val="22"/>
          <w:lang w:val="en-US"/>
        </w:rPr>
      </w:pPr>
    </w:p>
    <w:p w14:paraId="1D02C4FC" w14:textId="7F920376" w:rsidR="00964EBF" w:rsidRPr="00F05104" w:rsidRDefault="00964EBF" w:rsidP="00964EBF">
      <w:pPr>
        <w:spacing w:line="360" w:lineRule="auto"/>
        <w:rPr>
          <w:rFonts w:cs="Arial"/>
          <w:szCs w:val="22"/>
          <w:lang w:val="en-US"/>
        </w:rPr>
      </w:pPr>
      <w:r w:rsidRPr="00F05104">
        <w:rPr>
          <w:rFonts w:cs="Arial"/>
          <w:szCs w:val="22"/>
          <w:lang w:val="en-US"/>
        </w:rPr>
        <w:t xml:space="preserve">Depending on the application, the pharmaceutical feeder line can be outfitted with a variety of ancillary options including the innovative </w:t>
      </w:r>
      <w:proofErr w:type="spellStart"/>
      <w:r w:rsidRPr="00F05104">
        <w:rPr>
          <w:rFonts w:cs="Arial"/>
          <w:szCs w:val="22"/>
          <w:lang w:val="en-US"/>
        </w:rPr>
        <w:t>ActiFlow</w:t>
      </w:r>
      <w:r w:rsidRPr="00F05104">
        <w:rPr>
          <w:rFonts w:cs="Arial"/>
          <w:szCs w:val="22"/>
          <w:vertAlign w:val="superscript"/>
          <w:lang w:val="en-US"/>
        </w:rPr>
        <w:t>TM</w:t>
      </w:r>
      <w:proofErr w:type="spellEnd"/>
      <w:r w:rsidRPr="00F05104">
        <w:rPr>
          <w:rFonts w:cs="Arial"/>
          <w:szCs w:val="22"/>
          <w:lang w:val="en-US"/>
        </w:rPr>
        <w:t xml:space="preserve"> bulk solids activator, a material flow aid for </w:t>
      </w:r>
      <w:r w:rsidRPr="00F05104">
        <w:rPr>
          <w:rFonts w:cs="Arial"/>
          <w:szCs w:val="22"/>
          <w:lang w:val="en-US"/>
        </w:rPr>
        <w:lastRenderedPageBreak/>
        <w:t>feeding difficult flowing materials as well as Electronic Pressure Compensation (EPC). EPC is a unique instrumentation package, which can optimize feeder performance in continuous operations such as blending, extrusion, and granulation.</w:t>
      </w:r>
    </w:p>
    <w:p w14:paraId="2DECA6F7" w14:textId="77777777" w:rsidR="00FE34B1" w:rsidRDefault="00FE34B1" w:rsidP="002A2289">
      <w:pPr>
        <w:spacing w:line="360" w:lineRule="auto"/>
        <w:rPr>
          <w:rFonts w:cs="Arial"/>
          <w:color w:val="000000"/>
          <w:lang w:val="en-US"/>
        </w:rPr>
      </w:pPr>
    </w:p>
    <w:p w14:paraId="69AF6590" w14:textId="1E9E47CA" w:rsidR="00FE34B1" w:rsidRPr="002C334B" w:rsidRDefault="00FE34B1" w:rsidP="002A2289">
      <w:pPr>
        <w:spacing w:line="360" w:lineRule="auto"/>
        <w:rPr>
          <w:rFonts w:cs="Arial"/>
          <w:b/>
          <w:bCs/>
          <w:color w:val="000000"/>
          <w:lang w:val="en-US"/>
        </w:rPr>
      </w:pPr>
      <w:r w:rsidRPr="002C334B">
        <w:rPr>
          <w:rFonts w:cs="Arial"/>
          <w:b/>
          <w:bCs/>
          <w:color w:val="000000" w:themeColor="text1"/>
          <w:lang w:val="en-US"/>
        </w:rPr>
        <w:t xml:space="preserve">Innovative </w:t>
      </w:r>
      <w:r w:rsidRPr="0441F49E">
        <w:rPr>
          <w:rFonts w:cs="Arial"/>
          <w:b/>
          <w:bCs/>
          <w:color w:val="000000" w:themeColor="text1"/>
          <w:lang w:val="en-US"/>
        </w:rPr>
        <w:t>P</w:t>
      </w:r>
      <w:r w:rsidR="00CC289C" w:rsidRPr="0441F49E">
        <w:rPr>
          <w:rFonts w:cs="Arial"/>
          <w:b/>
          <w:bCs/>
          <w:color w:val="000000" w:themeColor="text1"/>
          <w:lang w:val="en-US"/>
        </w:rPr>
        <w:t>rocessing S</w:t>
      </w:r>
      <w:r w:rsidRPr="002C334B">
        <w:rPr>
          <w:rFonts w:cs="Arial"/>
          <w:b/>
          <w:bCs/>
          <w:color w:val="000000" w:themeColor="text1"/>
          <w:lang w:val="en-US"/>
        </w:rPr>
        <w:t xml:space="preserve">olutions </w:t>
      </w:r>
      <w:r w:rsidR="00CC289C" w:rsidRPr="0441F49E">
        <w:rPr>
          <w:rFonts w:cs="Arial"/>
          <w:b/>
          <w:bCs/>
          <w:color w:val="000000" w:themeColor="text1"/>
          <w:lang w:val="en-US"/>
        </w:rPr>
        <w:t>from a Single Source</w:t>
      </w:r>
    </w:p>
    <w:p w14:paraId="306B4CA0" w14:textId="1F9BCA7E" w:rsidR="00FE34B1" w:rsidRPr="008D4845" w:rsidRDefault="00FE34B1" w:rsidP="002A2289">
      <w:pPr>
        <w:spacing w:line="360" w:lineRule="auto"/>
        <w:rPr>
          <w:rFonts w:cs="Arial"/>
          <w:color w:val="000000"/>
          <w:lang w:val="en-US"/>
        </w:rPr>
      </w:pPr>
      <w:r>
        <w:rPr>
          <w:rFonts w:cs="Arial"/>
          <w:shd w:val="clear" w:color="auto" w:fill="FFFFFF"/>
          <w:lang w:val="en-US"/>
        </w:rPr>
        <w:t>Coperion</w:t>
      </w:r>
      <w:r w:rsidRPr="008D4845">
        <w:rPr>
          <w:rFonts w:cs="Arial"/>
          <w:shd w:val="clear" w:color="auto" w:fill="FFFFFF"/>
          <w:lang w:val="en-US"/>
        </w:rPr>
        <w:t xml:space="preserve"> continue</w:t>
      </w:r>
      <w:r>
        <w:rPr>
          <w:rFonts w:cs="Arial"/>
          <w:shd w:val="clear" w:color="auto" w:fill="FFFFFF"/>
          <w:lang w:val="en-US"/>
        </w:rPr>
        <w:t>s</w:t>
      </w:r>
      <w:r w:rsidRPr="008D4845">
        <w:rPr>
          <w:rFonts w:cs="Arial"/>
          <w:shd w:val="clear" w:color="auto" w:fill="FFFFFF"/>
          <w:lang w:val="en-US"/>
        </w:rPr>
        <w:t xml:space="preserve"> </w:t>
      </w:r>
      <w:r w:rsidRPr="008D4845">
        <w:rPr>
          <w:rFonts w:cs="Arial"/>
          <w:color w:val="111111"/>
          <w:shd w:val="clear" w:color="auto" w:fill="FFFFFF"/>
          <w:lang w:val="en-US"/>
        </w:rPr>
        <w:t xml:space="preserve">to work closely with pharmaceutical and nutraceutical companies of all sizes, resulting in smart technical solutions that can be seen in their pharmaceutical feeder line and </w:t>
      </w:r>
      <w:proofErr w:type="gramStart"/>
      <w:r w:rsidRPr="008D4845">
        <w:rPr>
          <w:rFonts w:cs="Arial"/>
          <w:color w:val="111111"/>
          <w:shd w:val="clear" w:color="auto" w:fill="FFFFFF"/>
          <w:lang w:val="en-US"/>
        </w:rPr>
        <w:t>twin screw</w:t>
      </w:r>
      <w:proofErr w:type="gramEnd"/>
      <w:r w:rsidRPr="008D4845">
        <w:rPr>
          <w:rFonts w:cs="Arial"/>
          <w:color w:val="111111"/>
          <w:shd w:val="clear" w:color="auto" w:fill="FFFFFF"/>
          <w:lang w:val="en-US"/>
        </w:rPr>
        <w:t xml:space="preserve"> extruders for continuous mixing of pharmaceutical active ingredients.</w:t>
      </w:r>
      <w:r w:rsidR="00027C6B">
        <w:rPr>
          <w:rFonts w:cs="Arial"/>
          <w:color w:val="111111"/>
          <w:shd w:val="clear" w:color="auto" w:fill="FFFFFF"/>
          <w:lang w:val="en-US"/>
        </w:rPr>
        <w:t xml:space="preserve"> </w:t>
      </w:r>
      <w:r w:rsidR="00102773">
        <w:rPr>
          <w:rFonts w:cs="Arial"/>
          <w:color w:val="111111"/>
          <w:shd w:val="clear" w:color="auto" w:fill="FFFFFF"/>
          <w:lang w:val="en-US"/>
        </w:rPr>
        <w:t>Coperion’s</w:t>
      </w:r>
      <w:r w:rsidR="00102773" w:rsidRPr="00102773">
        <w:rPr>
          <w:rFonts w:cs="Arial"/>
          <w:color w:val="111111"/>
          <w:shd w:val="clear" w:color="auto" w:fill="FFFFFF"/>
          <w:lang w:val="en-US"/>
        </w:rPr>
        <w:t xml:space="preserve"> complete line of equipment is engineered to meet the rigid requirements of the industry, including strict adherence to cGMP guidelines and standards as well as the use of FDA approved materials of construction. </w:t>
      </w:r>
      <w:r w:rsidR="005C66C5">
        <w:rPr>
          <w:rFonts w:cs="Arial"/>
          <w:color w:val="111111"/>
          <w:shd w:val="clear" w:color="auto" w:fill="FFFFFF"/>
          <w:lang w:val="en-US"/>
        </w:rPr>
        <w:t>P</w:t>
      </w:r>
      <w:r w:rsidR="00102773" w:rsidRPr="00102773">
        <w:rPr>
          <w:rFonts w:cs="Arial"/>
          <w:color w:val="111111"/>
          <w:shd w:val="clear" w:color="auto" w:fill="FFFFFF"/>
          <w:lang w:val="en-US"/>
        </w:rPr>
        <w:t xml:space="preserve">rocessing even the most difficult to handle excipients and active ingredients </w:t>
      </w:r>
      <w:r w:rsidR="003C2B4D">
        <w:rPr>
          <w:rFonts w:cs="Arial"/>
          <w:color w:val="111111"/>
          <w:shd w:val="clear" w:color="auto" w:fill="FFFFFF"/>
          <w:lang w:val="en-US"/>
        </w:rPr>
        <w:t xml:space="preserve">is paired </w:t>
      </w:r>
      <w:r w:rsidR="00102773" w:rsidRPr="00102773">
        <w:rPr>
          <w:rFonts w:cs="Arial"/>
          <w:color w:val="111111"/>
          <w:shd w:val="clear" w:color="auto" w:fill="FFFFFF"/>
          <w:lang w:val="en-US"/>
        </w:rPr>
        <w:t xml:space="preserve">with a particular strength in providing continuous processing solutions. </w:t>
      </w:r>
      <w:r w:rsidR="004468FD">
        <w:rPr>
          <w:rFonts w:cs="Arial"/>
          <w:color w:val="111111"/>
          <w:shd w:val="clear" w:color="auto" w:fill="FFFFFF"/>
          <w:lang w:val="en-US"/>
        </w:rPr>
        <w:t xml:space="preserve">Continuous </w:t>
      </w:r>
      <w:r w:rsidR="00027C6B" w:rsidRPr="65000643">
        <w:rPr>
          <w:rFonts w:cs="Arial"/>
          <w:lang w:val="en-US"/>
        </w:rPr>
        <w:t>and batch processes and their newest innovative solutions for optimal feeding and refill accuracy</w:t>
      </w:r>
      <w:r w:rsidR="003C2B4D" w:rsidRPr="65000643">
        <w:rPr>
          <w:rFonts w:cs="Arial"/>
          <w:lang w:val="en-US"/>
        </w:rPr>
        <w:t xml:space="preserve"> </w:t>
      </w:r>
      <w:proofErr w:type="spellStart"/>
      <w:r w:rsidR="004966E5" w:rsidRPr="65000643">
        <w:rPr>
          <w:rFonts w:cs="Arial"/>
          <w:lang w:val="en-US"/>
        </w:rPr>
        <w:t>arepart</w:t>
      </w:r>
      <w:proofErr w:type="spellEnd"/>
      <w:r w:rsidR="004966E5" w:rsidRPr="65000643">
        <w:rPr>
          <w:rFonts w:cs="Arial"/>
          <w:lang w:val="en-US"/>
        </w:rPr>
        <w:t xml:space="preserve"> of their </w:t>
      </w:r>
      <w:r w:rsidR="00BE318F" w:rsidRPr="65000643">
        <w:rPr>
          <w:rFonts w:cs="Arial"/>
          <w:lang w:val="en-US"/>
        </w:rPr>
        <w:t>stronghold as well as</w:t>
      </w:r>
      <w:r w:rsidR="00027C6B" w:rsidRPr="65000643">
        <w:rPr>
          <w:rFonts w:cs="Arial"/>
          <w:lang w:val="en-US"/>
        </w:rPr>
        <w:t xml:space="preserve"> </w:t>
      </w:r>
      <w:r w:rsidR="00CC289C" w:rsidRPr="65000643">
        <w:rPr>
          <w:rFonts w:cs="Arial"/>
          <w:lang w:val="en-US"/>
        </w:rPr>
        <w:t>their</w:t>
      </w:r>
      <w:r w:rsidR="00027C6B" w:rsidRPr="008D4845">
        <w:rPr>
          <w:rFonts w:cs="Arial"/>
          <w:shd w:val="clear" w:color="auto" w:fill="FFFFFF"/>
          <w:lang w:val="en-US"/>
        </w:rPr>
        <w:t xml:space="preserve"> single source solutions for extrusion, feeding and conveying applications.</w:t>
      </w:r>
    </w:p>
    <w:p w14:paraId="2DC78DE2" w14:textId="45F244E0" w:rsidR="00817468" w:rsidRPr="00F05104" w:rsidRDefault="00817468" w:rsidP="00817468">
      <w:pPr>
        <w:pStyle w:val="bild"/>
        <w:rPr>
          <w:i w:val="0"/>
          <w:lang w:val="en-US"/>
        </w:rPr>
      </w:pPr>
      <w:r w:rsidRPr="00F05104">
        <w:rPr>
          <w:i w:val="0"/>
          <w:lang w:val="en-US"/>
        </w:rPr>
        <w:t xml:space="preserve">For complete show highlights, visit </w:t>
      </w:r>
      <w:r w:rsidR="00DC2191">
        <w:fldChar w:fldCharType="begin"/>
      </w:r>
      <w:r w:rsidR="00DC2191" w:rsidRPr="00DC2191">
        <w:rPr>
          <w:lang w:val="en-US"/>
        </w:rPr>
        <w:instrText xml:space="preserve"> HYPERLINK "http://www.coperion.com/interphex" </w:instrText>
      </w:r>
      <w:r w:rsidR="00DC2191">
        <w:fldChar w:fldCharType="separate"/>
      </w:r>
      <w:r w:rsidRPr="00F05104">
        <w:rPr>
          <w:rStyle w:val="Hyperlink"/>
          <w:i w:val="0"/>
          <w:lang w:val="en-US"/>
        </w:rPr>
        <w:t>www.coperion.com/interphex</w:t>
      </w:r>
      <w:r w:rsidR="00DC2191">
        <w:rPr>
          <w:rStyle w:val="Hyperlink"/>
          <w:i w:val="0"/>
          <w:lang w:val="en-US"/>
        </w:rPr>
        <w:fldChar w:fldCharType="end"/>
      </w:r>
    </w:p>
    <w:p w14:paraId="0A7ED512" w14:textId="77777777" w:rsidR="0085681C" w:rsidRPr="00EA0AF3" w:rsidRDefault="0085681C" w:rsidP="00AA4B2E">
      <w:pPr>
        <w:spacing w:line="360" w:lineRule="auto"/>
        <w:rPr>
          <w:rStyle w:val="Hyperlink"/>
          <w:color w:val="auto"/>
          <w:u w:val="none"/>
          <w:lang w:val="en-US"/>
        </w:rPr>
      </w:pPr>
    </w:p>
    <w:p w14:paraId="12F7CD66" w14:textId="00E6CEEF" w:rsidR="009518A0" w:rsidRPr="00C5070B" w:rsidRDefault="00C5070B" w:rsidP="009518A0">
      <w:pPr>
        <w:spacing w:line="360" w:lineRule="auto"/>
        <w:rPr>
          <w:rStyle w:val="Hyperlink"/>
          <w:i/>
          <w:color w:val="auto"/>
          <w:u w:val="none"/>
          <w:lang w:val="en-US"/>
        </w:rPr>
      </w:pPr>
      <w:r w:rsidRPr="002C334B">
        <w:rPr>
          <w:rStyle w:val="Hyperlink"/>
          <w:i/>
          <w:color w:val="auto"/>
          <w:u w:val="none"/>
          <w:lang w:val="en-US"/>
        </w:rPr>
        <w:t xml:space="preserve">Word count: </w:t>
      </w:r>
      <w:r w:rsidR="001047D4">
        <w:rPr>
          <w:rStyle w:val="Hyperlink"/>
          <w:i/>
          <w:color w:val="auto"/>
          <w:u w:val="none"/>
          <w:lang w:val="en-US"/>
        </w:rPr>
        <w:t>7</w:t>
      </w:r>
      <w:r w:rsidR="00EA42B2">
        <w:rPr>
          <w:rStyle w:val="Hyperlink"/>
          <w:i/>
          <w:color w:val="auto"/>
          <w:u w:val="none"/>
          <w:lang w:val="en-US"/>
        </w:rPr>
        <w:t>29</w:t>
      </w:r>
    </w:p>
    <w:p w14:paraId="65866D14" w14:textId="77777777" w:rsidR="009518A0" w:rsidRPr="00EA0AF3" w:rsidRDefault="009518A0" w:rsidP="009518A0">
      <w:pPr>
        <w:spacing w:line="360" w:lineRule="auto"/>
        <w:rPr>
          <w:rStyle w:val="Hyperlink"/>
          <w:color w:val="auto"/>
          <w:u w:val="none"/>
          <w:lang w:val="en-US"/>
        </w:rPr>
      </w:pPr>
    </w:p>
    <w:p w14:paraId="711387FB" w14:textId="77777777" w:rsidR="009518A0" w:rsidRDefault="009518A0" w:rsidP="009518A0">
      <w:pPr>
        <w:tabs>
          <w:tab w:val="left" w:pos="90"/>
        </w:tabs>
        <w:snapToGrid w:val="0"/>
        <w:rPr>
          <w:lang w:val="en-US"/>
        </w:rPr>
      </w:pPr>
    </w:p>
    <w:p w14:paraId="6BEEF7A9" w14:textId="77777777" w:rsidR="00496474" w:rsidRPr="008D4845" w:rsidRDefault="00496474" w:rsidP="00496474">
      <w:pPr>
        <w:rPr>
          <w:rFonts w:cs="Arial"/>
          <w:sz w:val="20"/>
          <w:lang w:val="en-US"/>
        </w:rPr>
      </w:pPr>
      <w:r w:rsidRPr="008D4845">
        <w:rPr>
          <w:rFonts w:cs="Arial"/>
          <w:sz w:val="20"/>
          <w:lang w:val="en-US"/>
        </w:rPr>
        <w:t xml:space="preserve">Coperion is the international market and technology leader in compounding and extrusion systems, feeding and weighing technology, bulk materials handling systems and services. Coperion designs, develops, </w:t>
      </w:r>
      <w:proofErr w:type="gramStart"/>
      <w:r w:rsidRPr="008D4845">
        <w:rPr>
          <w:rFonts w:cs="Arial"/>
          <w:sz w:val="20"/>
          <w:lang w:val="en-US"/>
        </w:rPr>
        <w:t>manufactures</w:t>
      </w:r>
      <w:proofErr w:type="gramEnd"/>
      <w:r w:rsidRPr="008D4845">
        <w:rPr>
          <w:rFonts w:cs="Arial"/>
          <w:sz w:val="20"/>
          <w:lang w:val="en-US"/>
        </w:rPr>
        <w:t xml:space="preserve"> and maintains systems, machines and components for the plastics, chemicals, pharmaceutical, food and minerals industries. Within its two divisions – Polymer and Strategic Markets / Aftermarket Sales and Service – Coperion has 2,500 employees and nearly 30 sales and service companies worldwide. Coperion K-Tron is a brand of Coperion. For more information visit </w:t>
      </w:r>
      <w:r w:rsidR="00DC2191">
        <w:fldChar w:fldCharType="begin"/>
      </w:r>
      <w:r w:rsidR="00DC2191" w:rsidRPr="00DC2191">
        <w:rPr>
          <w:lang w:val="en-US"/>
        </w:rPr>
        <w:instrText xml:space="preserve"> HYPERLINK "http://www.coperion.com" </w:instrText>
      </w:r>
      <w:r w:rsidR="00DC2191">
        <w:fldChar w:fldCharType="separate"/>
      </w:r>
      <w:r w:rsidRPr="008D4845">
        <w:rPr>
          <w:rStyle w:val="Hyperlink"/>
          <w:rFonts w:cs="Arial"/>
          <w:sz w:val="20"/>
          <w:lang w:val="en-US"/>
        </w:rPr>
        <w:t>www.coperion.com</w:t>
      </w:r>
      <w:r w:rsidR="00DC2191">
        <w:rPr>
          <w:rStyle w:val="Hyperlink"/>
          <w:rFonts w:cs="Arial"/>
          <w:sz w:val="20"/>
          <w:lang w:val="en-US"/>
        </w:rPr>
        <w:fldChar w:fldCharType="end"/>
      </w:r>
      <w:r w:rsidRPr="008D4845">
        <w:rPr>
          <w:rFonts w:cs="Arial"/>
          <w:sz w:val="20"/>
          <w:lang w:val="en-US"/>
        </w:rPr>
        <w:t xml:space="preserve"> or email </w:t>
      </w:r>
      <w:r w:rsidR="00DC2191">
        <w:fldChar w:fldCharType="begin"/>
      </w:r>
      <w:r w:rsidR="00DC2191" w:rsidRPr="00DC2191">
        <w:rPr>
          <w:lang w:val="en-US"/>
        </w:rPr>
        <w:instrText xml:space="preserve"> HYPERLINK "mailto:info@coperion.com" </w:instrText>
      </w:r>
      <w:r w:rsidR="00DC2191">
        <w:fldChar w:fldCharType="separate"/>
      </w:r>
      <w:r w:rsidRPr="008D4845">
        <w:rPr>
          <w:rStyle w:val="Hyperlink"/>
          <w:rFonts w:cs="Arial"/>
          <w:sz w:val="20"/>
          <w:lang w:val="en-US"/>
        </w:rPr>
        <w:t>info@coperion.com</w:t>
      </w:r>
      <w:r w:rsidR="00DC2191">
        <w:rPr>
          <w:rStyle w:val="Hyperlink"/>
          <w:rFonts w:cs="Arial"/>
          <w:sz w:val="20"/>
          <w:lang w:val="en-US"/>
        </w:rPr>
        <w:fldChar w:fldCharType="end"/>
      </w:r>
      <w:r w:rsidRPr="008D4845">
        <w:rPr>
          <w:rFonts w:cs="Arial"/>
          <w:sz w:val="20"/>
          <w:lang w:val="en-US"/>
        </w:rPr>
        <w:t>.</w:t>
      </w:r>
    </w:p>
    <w:p w14:paraId="66926BC8" w14:textId="2EA33EC8" w:rsidR="00FB1445" w:rsidRPr="00F05104" w:rsidRDefault="00415C98" w:rsidP="00DA5F0C">
      <w:pPr>
        <w:pStyle w:val="Trennung"/>
        <w:spacing w:before="480" w:after="480"/>
        <w:rPr>
          <w:lang w:val="en-US"/>
        </w:rPr>
      </w:pPr>
      <w:r w:rsidRPr="00A346D3">
        <w:t></w:t>
      </w:r>
      <w:r w:rsidRPr="00A346D3">
        <w:t></w:t>
      </w:r>
      <w:r w:rsidRPr="00A346D3">
        <w:t></w:t>
      </w:r>
    </w:p>
    <w:p w14:paraId="27A3A557" w14:textId="3CC75871" w:rsidR="00415C98" w:rsidRPr="00415C98" w:rsidRDefault="00415C98" w:rsidP="00E23983">
      <w:pPr>
        <w:pStyle w:val="Internet"/>
        <w:pBdr>
          <w:bottom w:val="single" w:sz="8" w:space="0" w:color="00000A"/>
        </w:pBdr>
        <w:rPr>
          <w:lang w:val="en-US"/>
        </w:rPr>
      </w:pPr>
      <w:r w:rsidRPr="00415C98">
        <w:rPr>
          <w:lang w:val="en-US"/>
        </w:rPr>
        <w:lastRenderedPageBreak/>
        <w:t xml:space="preserve">Dear colleagues, </w:t>
      </w:r>
      <w:r w:rsidRPr="00415C98">
        <w:rPr>
          <w:lang w:val="en-US"/>
        </w:rPr>
        <w:br/>
        <w:t xml:space="preserve">You can download this </w:t>
      </w:r>
      <w:r w:rsidRPr="00415C98">
        <w:rPr>
          <w:u w:val="single"/>
          <w:lang w:val="en-US"/>
        </w:rPr>
        <w:t>press release in German and English</w:t>
      </w:r>
      <w:r w:rsidRPr="00415C98">
        <w:rPr>
          <w:lang w:val="en-US"/>
        </w:rPr>
        <w:t xml:space="preserve"> and </w:t>
      </w:r>
      <w:r w:rsidRPr="00415C98">
        <w:rPr>
          <w:u w:val="single"/>
          <w:lang w:val="en-US"/>
        </w:rPr>
        <w:t>the color photos in printable quality</w:t>
      </w:r>
      <w:r w:rsidRPr="00415C98">
        <w:rPr>
          <w:lang w:val="en-US"/>
        </w:rPr>
        <w:t xml:space="preserve"> from the Internet at </w:t>
      </w:r>
      <w:r w:rsidR="00DC2191">
        <w:fldChar w:fldCharType="begin"/>
      </w:r>
      <w:r w:rsidR="00DC2191" w:rsidRPr="00DC2191">
        <w:rPr>
          <w:lang w:val="en-US"/>
        </w:rPr>
        <w:instrText xml:space="preserve"> HYPERLINK "https://www.coperion.com/en/news-media/newsroom/" </w:instrText>
      </w:r>
      <w:r w:rsidR="00DC2191">
        <w:fldChar w:fldCharType="separate"/>
      </w:r>
      <w:r w:rsidR="00E23983" w:rsidRPr="008E033E">
        <w:rPr>
          <w:rStyle w:val="Hyperlink"/>
          <w:lang w:val="en-US"/>
        </w:rPr>
        <w:t>https://www.coperion.com/en/news-media/newsroom/</w:t>
      </w:r>
      <w:r w:rsidR="00DC2191">
        <w:rPr>
          <w:rStyle w:val="Hyperlink"/>
          <w:lang w:val="en-US"/>
        </w:rPr>
        <w:fldChar w:fldCharType="end"/>
      </w:r>
    </w:p>
    <w:p w14:paraId="4C0AC622" w14:textId="77777777" w:rsidR="00415C98" w:rsidRPr="00415C98" w:rsidRDefault="00415C98" w:rsidP="00415C98">
      <w:pPr>
        <w:pStyle w:val="Internet"/>
        <w:pBdr>
          <w:bottom w:val="single" w:sz="8" w:space="0" w:color="00000A"/>
        </w:pBdr>
        <w:rPr>
          <w:sz w:val="6"/>
          <w:lang w:val="en-US"/>
        </w:rPr>
      </w:pPr>
    </w:p>
    <w:p w14:paraId="7DB28343" w14:textId="1244E6D4" w:rsidR="00415C98" w:rsidRPr="00415C98" w:rsidRDefault="00415C98" w:rsidP="00415C98">
      <w:pPr>
        <w:spacing w:before="360" w:line="360" w:lineRule="auto"/>
        <w:rPr>
          <w:lang w:val="en-US"/>
        </w:rPr>
      </w:pPr>
      <w:r w:rsidRPr="00415C98">
        <w:rPr>
          <w:u w:val="single"/>
          <w:lang w:val="en-US"/>
        </w:rPr>
        <w:t>Editorial contact and voucher copies:</w:t>
      </w:r>
      <w:r w:rsidRPr="00415C98">
        <w:rPr>
          <w:lang w:val="en-US"/>
        </w:rPr>
        <w:t xml:space="preserve"> </w:t>
      </w:r>
    </w:p>
    <w:p w14:paraId="15E4EE5E" w14:textId="0F392475" w:rsidR="0057627B" w:rsidRDefault="00415C98" w:rsidP="00DA5C88">
      <w:pPr>
        <w:pStyle w:val="Konsens"/>
        <w:spacing w:before="120"/>
        <w:rPr>
          <w:rStyle w:val="Hyperlink"/>
          <w:szCs w:val="22"/>
        </w:rPr>
      </w:pPr>
      <w:r w:rsidRPr="006A7516">
        <w:rPr>
          <w:szCs w:val="22"/>
          <w:lang w:val="de-CH"/>
        </w:rPr>
        <w:t xml:space="preserve">Dr. Jörg Wolters,  KONSENS Public Relations GmbH &amp; Co. </w:t>
      </w:r>
      <w:r w:rsidRPr="00F56BAD">
        <w:rPr>
          <w:szCs w:val="22"/>
        </w:rPr>
        <w:t>KG,</w:t>
      </w:r>
      <w:r w:rsidRPr="00F56BAD">
        <w:rPr>
          <w:szCs w:val="22"/>
        </w:rPr>
        <w:br/>
        <w:t>Hans-Kudlich-Straße 25,  D-64823 Groß-Umstadt</w:t>
      </w:r>
      <w:r w:rsidRPr="00F56BAD">
        <w:rPr>
          <w:szCs w:val="22"/>
        </w:rPr>
        <w:br/>
        <w:t>Tel.:+49 (0)60 78/93 63-0,  Fax: +49 (0)60 78/93 63-20</w:t>
      </w:r>
      <w:r w:rsidRPr="00F56BAD">
        <w:rPr>
          <w:szCs w:val="22"/>
        </w:rPr>
        <w:br/>
        <w:t xml:space="preserve">Email:  mail@konsens.de,  Internet:  </w:t>
      </w:r>
      <w:hyperlink r:id="rId12" w:history="1">
        <w:r w:rsidRPr="00F56BAD">
          <w:rPr>
            <w:rStyle w:val="Hyperlink"/>
            <w:szCs w:val="22"/>
          </w:rPr>
          <w:t>www.konsens.de</w:t>
        </w:r>
      </w:hyperlink>
    </w:p>
    <w:p w14:paraId="3A7C83EF" w14:textId="59631C93" w:rsidR="00AA4B2E" w:rsidRDefault="00AA4B2E" w:rsidP="00AA4B2E">
      <w:pPr>
        <w:pStyle w:val="Konsens"/>
        <w:spacing w:before="120"/>
        <w:ind w:left="0"/>
        <w:rPr>
          <w:rStyle w:val="Hyperlink"/>
          <w:szCs w:val="22"/>
        </w:rPr>
      </w:pPr>
    </w:p>
    <w:p w14:paraId="4A4C2AC3" w14:textId="77777777" w:rsidR="00770981" w:rsidRDefault="00770981" w:rsidP="00AA4B2E">
      <w:pPr>
        <w:pStyle w:val="Konsens"/>
        <w:spacing w:before="120"/>
        <w:ind w:left="0"/>
        <w:rPr>
          <w:rStyle w:val="Hyperlink"/>
          <w:szCs w:val="22"/>
        </w:rPr>
      </w:pPr>
    </w:p>
    <w:p w14:paraId="631CF8BF" w14:textId="1A776D45" w:rsidR="001047D4" w:rsidRPr="00770981" w:rsidRDefault="001047D4" w:rsidP="001047D4">
      <w:pPr>
        <w:autoSpaceDE w:val="0"/>
        <w:autoSpaceDN w:val="0"/>
        <w:adjustRightInd w:val="0"/>
        <w:rPr>
          <w:rFonts w:cs="Arial"/>
          <w:i/>
          <w:iCs/>
          <w:szCs w:val="22"/>
          <w:lang w:eastAsia="zh-CN"/>
        </w:rPr>
      </w:pPr>
      <w:r w:rsidRPr="00770981">
        <w:rPr>
          <w:rFonts w:cs="Arial"/>
          <w:i/>
          <w:iCs/>
          <w:szCs w:val="22"/>
          <w:lang w:eastAsia="zh-CN"/>
        </w:rPr>
        <w:t xml:space="preserve"> </w:t>
      </w:r>
    </w:p>
    <w:p w14:paraId="30C2D8A5" w14:textId="77777777" w:rsidR="00DC2191" w:rsidRDefault="00DC2191" w:rsidP="00DC2191">
      <w:pPr>
        <w:autoSpaceDE w:val="0"/>
        <w:autoSpaceDN w:val="0"/>
        <w:adjustRightInd w:val="0"/>
        <w:rPr>
          <w:rFonts w:cs="Arial"/>
          <w:i/>
          <w:iCs/>
          <w:szCs w:val="22"/>
          <w:lang w:val="en-US" w:eastAsia="zh-CN"/>
        </w:rPr>
      </w:pPr>
      <w:r>
        <w:rPr>
          <w:rFonts w:cs="Arial"/>
          <w:i/>
          <w:iCs/>
          <w:szCs w:val="22"/>
          <w:lang w:val="en-US" w:eastAsia="zh-CN"/>
        </w:rPr>
        <w:t>Coperion K-Tron’s Tablet Press Lubricant Feeder offers an automated, consistent, continuous feed rate.</w:t>
      </w:r>
    </w:p>
    <w:p w14:paraId="635411CB" w14:textId="77777777" w:rsidR="001047D4" w:rsidRDefault="001047D4" w:rsidP="001047D4">
      <w:pPr>
        <w:pStyle w:val="Kopfzeile"/>
        <w:spacing w:line="360" w:lineRule="auto"/>
        <w:rPr>
          <w:i/>
          <w:szCs w:val="22"/>
        </w:rPr>
      </w:pPr>
      <w:r w:rsidRPr="00F05104">
        <w:rPr>
          <w:rFonts w:cs="Arial"/>
          <w:i/>
          <w:iCs/>
          <w:szCs w:val="22"/>
          <w:lang w:eastAsia="zh-CN"/>
        </w:rPr>
        <w:t>Image: Coperion K-Tron, Niederlenz, Switzerland</w:t>
      </w:r>
    </w:p>
    <w:p w14:paraId="55DE451C" w14:textId="77777777" w:rsidR="00AA4B2E" w:rsidRPr="00587BDB" w:rsidRDefault="00AA4B2E" w:rsidP="00AA4B2E">
      <w:pPr>
        <w:pStyle w:val="Konsens"/>
        <w:spacing w:before="120"/>
        <w:ind w:left="0"/>
        <w:rPr>
          <w:rStyle w:val="Hyperlink"/>
          <w:color w:val="auto"/>
          <w:szCs w:val="24"/>
          <w:u w:val="none"/>
        </w:rPr>
      </w:pPr>
    </w:p>
    <w:p w14:paraId="0C51CE5E" w14:textId="77777777" w:rsidR="005F735E" w:rsidRDefault="005F735E" w:rsidP="005F735E">
      <w:pPr>
        <w:pStyle w:val="Kopfzeile"/>
        <w:spacing w:line="360" w:lineRule="auto"/>
        <w:rPr>
          <w:i/>
          <w:szCs w:val="22"/>
        </w:rPr>
      </w:pPr>
    </w:p>
    <w:p w14:paraId="39669C54" w14:textId="745AA4F8" w:rsidR="005F735E" w:rsidRPr="00190BDE" w:rsidRDefault="005F735E" w:rsidP="005F735E">
      <w:pPr>
        <w:pStyle w:val="Kopfzeile"/>
        <w:spacing w:line="360" w:lineRule="auto"/>
        <w:rPr>
          <w:i/>
          <w:szCs w:val="22"/>
          <w:lang w:val="en-US"/>
        </w:rPr>
      </w:pPr>
      <w:r w:rsidRPr="00EC57A1">
        <w:rPr>
          <w:i/>
          <w:szCs w:val="22"/>
          <w:lang w:val="en-US"/>
        </w:rPr>
        <w:t>Coperion K-Tron’s pharmaceutical feeder with a redesigned trapezoid scale shape and significantly smaller footprint is optimized for multi-feeder clusters around a process inlet</w:t>
      </w:r>
      <w:r w:rsidRPr="00190BDE">
        <w:rPr>
          <w:i/>
          <w:szCs w:val="22"/>
          <w:lang w:val="en-US"/>
        </w:rPr>
        <w:t>.</w:t>
      </w:r>
    </w:p>
    <w:p w14:paraId="3088147D" w14:textId="75BA63ED" w:rsidR="005F735E" w:rsidRPr="008D4845" w:rsidRDefault="005F735E" w:rsidP="005F735E">
      <w:pPr>
        <w:pStyle w:val="Kopfzeile"/>
        <w:spacing w:line="360" w:lineRule="auto"/>
        <w:rPr>
          <w:rFonts w:cs="Arial"/>
          <w:i/>
          <w:szCs w:val="22"/>
          <w:lang w:val="en-US"/>
        </w:rPr>
      </w:pPr>
      <w:r w:rsidRPr="008D4845">
        <w:rPr>
          <w:i/>
          <w:szCs w:val="22"/>
          <w:lang w:val="en-US"/>
        </w:rPr>
        <w:t xml:space="preserve">Image: Coperion K-Tron, </w:t>
      </w:r>
      <w:r w:rsidR="008664A0" w:rsidRPr="008D4845">
        <w:rPr>
          <w:i/>
          <w:szCs w:val="22"/>
          <w:lang w:val="en-US"/>
        </w:rPr>
        <w:t>Salina, KS</w:t>
      </w:r>
      <w:r w:rsidR="007909E0" w:rsidRPr="008D4845">
        <w:rPr>
          <w:i/>
          <w:szCs w:val="22"/>
          <w:lang w:val="en-US"/>
        </w:rPr>
        <w:t>, USA</w:t>
      </w:r>
    </w:p>
    <w:p w14:paraId="44252D24" w14:textId="25874E2B" w:rsidR="00AA4B2E" w:rsidRPr="00AA4B2E" w:rsidRDefault="00AA4B2E" w:rsidP="00AA4B2E">
      <w:pPr>
        <w:pStyle w:val="Konsens"/>
        <w:spacing w:before="120"/>
        <w:ind w:left="0"/>
        <w:rPr>
          <w:rStyle w:val="Hyperlink"/>
          <w:color w:val="auto"/>
          <w:szCs w:val="24"/>
          <w:u w:val="none"/>
          <w:lang w:val="en-US"/>
        </w:rPr>
      </w:pPr>
    </w:p>
    <w:p w14:paraId="2A53A54E" w14:textId="77777777" w:rsidR="00AA4B2E" w:rsidRPr="00AA4B2E" w:rsidRDefault="00AA4B2E" w:rsidP="00AA4B2E">
      <w:pPr>
        <w:pStyle w:val="Konsens"/>
        <w:spacing w:before="120"/>
        <w:ind w:left="0"/>
        <w:rPr>
          <w:rStyle w:val="Hyperlink"/>
          <w:color w:val="auto"/>
          <w:szCs w:val="24"/>
          <w:u w:val="none"/>
          <w:lang w:val="en-US"/>
        </w:rPr>
      </w:pPr>
    </w:p>
    <w:p w14:paraId="525A0376" w14:textId="25D473DD" w:rsidR="00AA4B2E" w:rsidRPr="00AA4B2E" w:rsidRDefault="00AA4B2E" w:rsidP="00AA4B2E">
      <w:pPr>
        <w:pStyle w:val="Kopfzeile"/>
        <w:spacing w:line="360" w:lineRule="auto"/>
        <w:rPr>
          <w:rFonts w:cs="Arial"/>
          <w:i/>
          <w:szCs w:val="22"/>
          <w:lang w:val="en-US"/>
        </w:rPr>
      </w:pPr>
      <w:r w:rsidRPr="00AA4B2E">
        <w:rPr>
          <w:i/>
          <w:szCs w:val="22"/>
          <w:lang w:val="en-US"/>
        </w:rPr>
        <w:t xml:space="preserve">The K3-PH line of </w:t>
      </w:r>
      <w:r w:rsidR="00770B30">
        <w:rPr>
          <w:i/>
          <w:szCs w:val="22"/>
          <w:lang w:val="en-US"/>
        </w:rPr>
        <w:t xml:space="preserve">modular </w:t>
      </w:r>
      <w:r w:rsidRPr="00AA4B2E">
        <w:rPr>
          <w:i/>
          <w:szCs w:val="22"/>
          <w:lang w:val="en-US"/>
        </w:rPr>
        <w:t>feeders has been specifically designed to meet the growing demands of continuous processing in the pharmaceutical industry</w:t>
      </w:r>
    </w:p>
    <w:p w14:paraId="7F6ACDA1" w14:textId="2AD3F4B1" w:rsidR="00190BDE" w:rsidRPr="008D4845" w:rsidRDefault="00AA4B2E" w:rsidP="00575610">
      <w:pPr>
        <w:pStyle w:val="Kopfzeile"/>
        <w:spacing w:line="360" w:lineRule="auto"/>
        <w:rPr>
          <w:i/>
          <w:szCs w:val="22"/>
          <w:lang w:val="en-US"/>
        </w:rPr>
      </w:pPr>
      <w:r w:rsidRPr="008D4845">
        <w:rPr>
          <w:i/>
          <w:szCs w:val="22"/>
          <w:lang w:val="en-US"/>
        </w:rPr>
        <w:t xml:space="preserve">Image: </w:t>
      </w:r>
      <w:r w:rsidR="008664A0" w:rsidRPr="008D4845">
        <w:rPr>
          <w:i/>
          <w:szCs w:val="22"/>
          <w:lang w:val="en-US"/>
        </w:rPr>
        <w:t>Coperion K-Tron, Salina, KS, USA</w:t>
      </w:r>
    </w:p>
    <w:p w14:paraId="6D85145D" w14:textId="52CE8F7A" w:rsidR="001B3FD7" w:rsidRPr="00DC2191" w:rsidRDefault="001B3FD7" w:rsidP="001B3FD7">
      <w:pPr>
        <w:pStyle w:val="bild"/>
        <w:rPr>
          <w:lang w:val="en-US" w:eastAsia="ar-SA"/>
        </w:rPr>
      </w:pPr>
    </w:p>
    <w:p w14:paraId="256B315E" w14:textId="2C2D6CA1" w:rsidR="001B3FD7" w:rsidRPr="00770981" w:rsidRDefault="001B3FD7" w:rsidP="001B3FD7">
      <w:pPr>
        <w:pStyle w:val="bild"/>
        <w:rPr>
          <w:lang w:val="en-US" w:eastAsia="ar-SA"/>
        </w:rPr>
      </w:pPr>
      <w:r w:rsidRPr="008D4845">
        <w:rPr>
          <w:lang w:val="en-US" w:eastAsia="ar-SA"/>
        </w:rPr>
        <w:t>Coperion K-Tron P</w:t>
      </w:r>
      <w:r w:rsidR="00507639" w:rsidRPr="008D4845">
        <w:rPr>
          <w:lang w:val="en-US" w:eastAsia="ar-SA"/>
        </w:rPr>
        <w:t>30</w:t>
      </w:r>
      <w:r w:rsidRPr="008D4845">
        <w:rPr>
          <w:lang w:val="en-US" w:eastAsia="ar-SA"/>
        </w:rPr>
        <w:t xml:space="preserve"> pneumatic conveying vacuum receiver is a custom solution for sanitary pharmaceutical ingredient handling.</w:t>
      </w:r>
      <w:r w:rsidRPr="008D4845">
        <w:rPr>
          <w:lang w:val="en-US" w:eastAsia="ar-SA"/>
        </w:rPr>
        <w:br/>
      </w:r>
      <w:r w:rsidRPr="00770981">
        <w:rPr>
          <w:lang w:val="en-US" w:eastAsia="ar-SA"/>
        </w:rPr>
        <w:t xml:space="preserve">Image: Coperion K-Tron, </w:t>
      </w:r>
      <w:proofErr w:type="spellStart"/>
      <w:r w:rsidRPr="00770981">
        <w:rPr>
          <w:lang w:val="en-US" w:eastAsia="ar-SA"/>
        </w:rPr>
        <w:t>Niederlenz</w:t>
      </w:r>
      <w:proofErr w:type="spellEnd"/>
      <w:r w:rsidRPr="00770981">
        <w:rPr>
          <w:lang w:val="en-US" w:eastAsia="ar-SA"/>
        </w:rPr>
        <w:t>, Switzerland</w:t>
      </w:r>
    </w:p>
    <w:p w14:paraId="67570185" w14:textId="77777777" w:rsidR="005D6EE8" w:rsidRPr="00770981" w:rsidRDefault="005D6EE8" w:rsidP="00575610">
      <w:pPr>
        <w:pStyle w:val="Kopfzeile"/>
        <w:spacing w:line="360" w:lineRule="auto"/>
        <w:rPr>
          <w:i/>
          <w:szCs w:val="22"/>
          <w:lang w:val="en-US"/>
        </w:rPr>
      </w:pPr>
    </w:p>
    <w:sectPr w:rsidR="005D6EE8" w:rsidRPr="00770981" w:rsidSect="00582CBF">
      <w:headerReference w:type="default" r:id="rId13"/>
      <w:footerReference w:type="default" r:id="rId14"/>
      <w:headerReference w:type="first" r:id="rId15"/>
      <w:footerReference w:type="first" r:id="rId16"/>
      <w:type w:val="continuous"/>
      <w:pgSz w:w="11906" w:h="16838" w:code="9"/>
      <w:pgMar w:top="3055" w:right="1134" w:bottom="1560" w:left="1418" w:header="77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91220" w14:textId="77777777" w:rsidR="009F41FB" w:rsidRDefault="009F41FB">
      <w:r>
        <w:separator/>
      </w:r>
    </w:p>
  </w:endnote>
  <w:endnote w:type="continuationSeparator" w:id="0">
    <w:p w14:paraId="6BA946C7" w14:textId="77777777" w:rsidR="009F41FB" w:rsidRDefault="009F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794A33A9" w14:textId="77777777">
      <w:trPr>
        <w:cantSplit/>
      </w:trPr>
      <w:tc>
        <w:tcPr>
          <w:tcW w:w="7428" w:type="dxa"/>
          <w:noWrap/>
          <w:vAlign w:val="bottom"/>
        </w:tcPr>
        <w:p w14:paraId="42CB5E63" w14:textId="77777777" w:rsidR="00B87E7F" w:rsidRDefault="00B87E7F">
          <w:pPr>
            <w:pStyle w:val="Fuzeile"/>
            <w:spacing w:line="200" w:lineRule="exact"/>
            <w:rPr>
              <w:rFonts w:cs="Arial"/>
            </w:rPr>
          </w:pPr>
          <w:bookmarkStart w:id="5" w:name="Fuss2"/>
        </w:p>
      </w:tc>
      <w:tc>
        <w:tcPr>
          <w:tcW w:w="1758" w:type="dxa"/>
          <w:noWrap/>
          <w:vAlign w:val="bottom"/>
        </w:tcPr>
        <w:p w14:paraId="0EF0D309" w14:textId="77777777" w:rsidR="00B87E7F" w:rsidRDefault="0082058A" w:rsidP="0082058A">
          <w:pPr>
            <w:pStyle w:val="Fuzeile"/>
            <w:spacing w:line="200" w:lineRule="exact"/>
            <w:jc w:val="right"/>
            <w:rPr>
              <w:rFonts w:cs="Arial"/>
              <w:szCs w:val="14"/>
            </w:rPr>
          </w:pPr>
          <w:bookmarkStart w:id="6" w:name="PageName"/>
          <w:bookmarkEnd w:id="6"/>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5C2664">
            <w:rPr>
              <w:rFonts w:cs="Arial"/>
              <w:noProof/>
              <w:szCs w:val="14"/>
            </w:rPr>
            <w:t>6</w:t>
          </w:r>
          <w:r w:rsidR="00B87E7F">
            <w:rPr>
              <w:rFonts w:cs="Arial"/>
              <w:szCs w:val="14"/>
            </w:rPr>
            <w:fldChar w:fldCharType="end"/>
          </w:r>
          <w:r w:rsidR="00B87E7F">
            <w:rPr>
              <w:rFonts w:cs="Arial"/>
              <w:szCs w:val="14"/>
            </w:rPr>
            <w:t xml:space="preserve"> </w:t>
          </w:r>
          <w:r>
            <w:rPr>
              <w:rFonts w:cs="Arial"/>
              <w:szCs w:val="14"/>
            </w:rPr>
            <w:t>of</w:t>
          </w:r>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5C2664">
            <w:rPr>
              <w:rStyle w:val="Seitenzahl"/>
              <w:noProof/>
            </w:rPr>
            <w:t>6</w:t>
          </w:r>
          <w:r w:rsidR="00B87E7F">
            <w:rPr>
              <w:rStyle w:val="Seitenzahl"/>
            </w:rPr>
            <w:fldChar w:fldCharType="end"/>
          </w:r>
        </w:p>
      </w:tc>
      <w:tc>
        <w:tcPr>
          <w:tcW w:w="567" w:type="dxa"/>
          <w:vAlign w:val="bottom"/>
        </w:tcPr>
        <w:p w14:paraId="47DCB64B" w14:textId="77777777" w:rsidR="00B87E7F" w:rsidRDefault="00B87E7F">
          <w:pPr>
            <w:pStyle w:val="Fuzeile"/>
            <w:spacing w:line="200" w:lineRule="exact"/>
            <w:rPr>
              <w:rFonts w:cs="Arial"/>
              <w:szCs w:val="14"/>
            </w:rPr>
          </w:pPr>
        </w:p>
      </w:tc>
    </w:tr>
    <w:bookmarkEnd w:id="5"/>
  </w:tbl>
  <w:p w14:paraId="2EACC11F" w14:textId="77777777" w:rsidR="00B87E7F" w:rsidRDefault="00B87E7F">
    <w:pP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2A4D6D3C" w14:textId="77777777">
      <w:tc>
        <w:tcPr>
          <w:tcW w:w="7371" w:type="dxa"/>
          <w:tcMar>
            <w:left w:w="0" w:type="dxa"/>
            <w:right w:w="0" w:type="dxa"/>
          </w:tcMar>
          <w:vAlign w:val="bottom"/>
        </w:tcPr>
        <w:p w14:paraId="49157B3A" w14:textId="77777777" w:rsidR="00B87E7F" w:rsidRDefault="00B87E7F">
          <w:pPr>
            <w:pStyle w:val="Fuzeile"/>
            <w:spacing w:line="200" w:lineRule="exact"/>
            <w:rPr>
              <w:rFonts w:cs="Arial"/>
              <w:szCs w:val="14"/>
            </w:rPr>
          </w:pPr>
          <w:bookmarkStart w:id="10" w:name="GeneralPartnerLinks"/>
          <w:bookmarkStart w:id="11" w:name="Fuss1"/>
          <w:bookmarkEnd w:id="10"/>
        </w:p>
      </w:tc>
      <w:tc>
        <w:tcPr>
          <w:tcW w:w="2835" w:type="dxa"/>
          <w:tcMar>
            <w:left w:w="0" w:type="dxa"/>
            <w:right w:w="0" w:type="dxa"/>
          </w:tcMar>
        </w:tcPr>
        <w:p w14:paraId="58254ED0" w14:textId="77777777" w:rsidR="00B87E7F" w:rsidRDefault="00B87E7F">
          <w:pPr>
            <w:rPr>
              <w:sz w:val="14"/>
            </w:rPr>
          </w:pPr>
          <w:bookmarkStart w:id="12" w:name="GeneralPartnerRechts"/>
          <w:bookmarkEnd w:id="12"/>
        </w:p>
      </w:tc>
    </w:tr>
  </w:tbl>
  <w:p w14:paraId="7764714F" w14:textId="77777777" w:rsidR="00B87E7F" w:rsidRDefault="00B87E7F">
    <w:pPr>
      <w:rPr>
        <w:sz w:val="14"/>
      </w:rPr>
    </w:pPr>
  </w:p>
  <w:bookmarkEnd w:id="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FF64E" w14:textId="77777777" w:rsidR="009F41FB" w:rsidRDefault="009F41FB">
      <w:r>
        <w:separator/>
      </w:r>
    </w:p>
  </w:footnote>
  <w:footnote w:type="continuationSeparator" w:id="0">
    <w:p w14:paraId="6A9FE292" w14:textId="77777777" w:rsidR="009F41FB" w:rsidRDefault="009F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Ind w:w="-255" w:type="dxa"/>
      <w:tblLayout w:type="fixed"/>
      <w:tblCellMar>
        <w:left w:w="0" w:type="dxa"/>
        <w:right w:w="0" w:type="dxa"/>
      </w:tblCellMar>
      <w:tblLook w:val="0000" w:firstRow="0" w:lastRow="0" w:firstColumn="0" w:lastColumn="0" w:noHBand="0" w:noVBand="0"/>
    </w:tblPr>
    <w:tblGrid>
      <w:gridCol w:w="5925"/>
      <w:gridCol w:w="142"/>
      <w:gridCol w:w="3544"/>
    </w:tblGrid>
    <w:tr w:rsidR="004918F0" w14:paraId="57749F68" w14:textId="77777777" w:rsidTr="002D3BA0">
      <w:trPr>
        <w:trHeight w:hRule="exact" w:val="794"/>
      </w:trPr>
      <w:tc>
        <w:tcPr>
          <w:tcW w:w="6067" w:type="dxa"/>
          <w:gridSpan w:val="2"/>
          <w:noWrap/>
          <w:vAlign w:val="bottom"/>
        </w:tcPr>
        <w:p w14:paraId="21FF4832" w14:textId="77777777" w:rsidR="004918F0" w:rsidRDefault="004918F0" w:rsidP="004918F0">
          <w:pPr>
            <w:pStyle w:val="Kopfzeile"/>
            <w:widowControl w:val="0"/>
            <w:rPr>
              <w:rFonts w:cs="Arial"/>
              <w:sz w:val="16"/>
              <w:szCs w:val="16"/>
            </w:rPr>
          </w:pPr>
          <w:r>
            <w:rPr>
              <w:rFonts w:cs="Arial"/>
              <w:noProof/>
              <w:sz w:val="16"/>
              <w:szCs w:val="16"/>
              <w:lang w:val="en-US" w:eastAsia="zh-TW"/>
            </w:rPr>
            <w:drawing>
              <wp:inline distT="0" distB="0" distL="0" distR="0" wp14:anchorId="301436E4" wp14:editId="128AA811">
                <wp:extent cx="2105025" cy="438150"/>
                <wp:effectExtent l="0" t="0" r="9525" b="0"/>
                <wp:docPr id="16"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3544" w:type="dxa"/>
          <w:noWrap/>
          <w:tcMar>
            <w:left w:w="17" w:type="dxa"/>
          </w:tcMar>
          <w:vAlign w:val="bottom"/>
        </w:tcPr>
        <w:p w14:paraId="59817BBB" w14:textId="77777777" w:rsidR="004918F0" w:rsidRDefault="004918F0" w:rsidP="004918F0">
          <w:pPr>
            <w:pStyle w:val="Kopfzeile"/>
            <w:tabs>
              <w:tab w:val="left" w:pos="786"/>
              <w:tab w:val="left" w:pos="1772"/>
              <w:tab w:val="left" w:pos="3291"/>
              <w:tab w:val="left" w:pos="5273"/>
              <w:tab w:val="left" w:pos="6480"/>
            </w:tabs>
            <w:spacing w:after="10"/>
            <w:jc w:val="right"/>
            <w:rPr>
              <w:sz w:val="16"/>
              <w:szCs w:val="16"/>
            </w:rPr>
          </w:pPr>
          <w:r>
            <w:rPr>
              <w:noProof/>
              <w:sz w:val="16"/>
              <w:szCs w:val="16"/>
              <w:lang w:val="en-US" w:eastAsia="zh-TW"/>
            </w:rPr>
            <w:drawing>
              <wp:inline distT="0" distB="0" distL="0" distR="0" wp14:anchorId="6C5E427B" wp14:editId="77294C43">
                <wp:extent cx="1295400" cy="438150"/>
                <wp:effectExtent l="0" t="0" r="0" b="0"/>
                <wp:docPr id="17" name="Picture 10"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B87E7F" w14:paraId="282CFBDE" w14:textId="77777777" w:rsidTr="00573361">
      <w:trPr>
        <w:trHeight w:hRule="exact" w:val="1418"/>
      </w:trPr>
      <w:tc>
        <w:tcPr>
          <w:tcW w:w="5925" w:type="dxa"/>
          <w:noWrap/>
          <w:vAlign w:val="bottom"/>
        </w:tcPr>
        <w:p w14:paraId="1B276EA2" w14:textId="6F368138" w:rsidR="00622B87" w:rsidRDefault="00272269" w:rsidP="003C7241">
          <w:pPr>
            <w:pStyle w:val="Kopfzeile"/>
            <w:widowControl w:val="0"/>
            <w:overflowPunct w:val="0"/>
            <w:autoSpaceDE w:val="0"/>
            <w:autoSpaceDN w:val="0"/>
            <w:adjustRightInd w:val="0"/>
            <w:textAlignment w:val="baseline"/>
            <w:rPr>
              <w:szCs w:val="20"/>
            </w:rPr>
          </w:pPr>
          <w:bookmarkStart w:id="2" w:name="Kopf2"/>
          <w:r>
            <w:rPr>
              <w:szCs w:val="20"/>
            </w:rPr>
            <w:t xml:space="preserve"> </w:t>
          </w:r>
        </w:p>
        <w:p w14:paraId="77DB6736" w14:textId="77777777" w:rsidR="00622B87" w:rsidRDefault="00622B87" w:rsidP="003C7241">
          <w:pPr>
            <w:pStyle w:val="Kopfzeile"/>
            <w:widowControl w:val="0"/>
            <w:overflowPunct w:val="0"/>
            <w:autoSpaceDE w:val="0"/>
            <w:autoSpaceDN w:val="0"/>
            <w:adjustRightInd w:val="0"/>
            <w:textAlignment w:val="baseline"/>
            <w:rPr>
              <w:szCs w:val="20"/>
            </w:rPr>
          </w:pPr>
        </w:p>
        <w:p w14:paraId="731B7B7F" w14:textId="77777777" w:rsidR="00622B87" w:rsidRDefault="00622B87" w:rsidP="003C7241">
          <w:pPr>
            <w:pStyle w:val="Kopfzeile"/>
            <w:widowControl w:val="0"/>
            <w:overflowPunct w:val="0"/>
            <w:autoSpaceDE w:val="0"/>
            <w:autoSpaceDN w:val="0"/>
            <w:adjustRightInd w:val="0"/>
            <w:textAlignment w:val="baseline"/>
            <w:rPr>
              <w:szCs w:val="20"/>
            </w:rPr>
          </w:pPr>
        </w:p>
        <w:p w14:paraId="2132B62E" w14:textId="51CBA3B9" w:rsidR="00B87E7F" w:rsidRPr="00AF4CEB" w:rsidRDefault="00F05104" w:rsidP="00AF4CEB">
          <w:pPr>
            <w:pStyle w:val="Kopfzeile"/>
            <w:widowControl w:val="0"/>
            <w:overflowPunct w:val="0"/>
            <w:autoSpaceDE w:val="0"/>
            <w:autoSpaceDN w:val="0"/>
            <w:adjustRightInd w:val="0"/>
            <w:ind w:left="250"/>
            <w:textAlignment w:val="baseline"/>
            <w:rPr>
              <w:i/>
              <w:iCs/>
              <w:szCs w:val="20"/>
            </w:rPr>
          </w:pPr>
          <w:r>
            <w:rPr>
              <w:i/>
              <w:iCs/>
              <w:szCs w:val="20"/>
            </w:rPr>
            <w:t>May</w:t>
          </w:r>
          <w:r w:rsidR="001B3FD7" w:rsidRPr="00AF4CEB">
            <w:rPr>
              <w:i/>
              <w:iCs/>
              <w:szCs w:val="20"/>
            </w:rPr>
            <w:t xml:space="preserve"> 2022</w:t>
          </w:r>
        </w:p>
      </w:tc>
      <w:tc>
        <w:tcPr>
          <w:tcW w:w="3686" w:type="dxa"/>
          <w:gridSpan w:val="2"/>
          <w:noWrap/>
          <w:tcMar>
            <w:left w:w="17" w:type="dxa"/>
          </w:tcMar>
          <w:vAlign w:val="bottom"/>
        </w:tcPr>
        <w:p w14:paraId="3183CBC4" w14:textId="15C308F7" w:rsidR="00B87E7F" w:rsidRDefault="00B87E7F" w:rsidP="004918F0">
          <w:pPr>
            <w:pStyle w:val="Kopfzeile"/>
            <w:tabs>
              <w:tab w:val="left" w:pos="838"/>
              <w:tab w:val="left" w:pos="5273"/>
              <w:tab w:val="left" w:pos="6480"/>
            </w:tabs>
            <w:ind w:right="320"/>
            <w:rPr>
              <w:sz w:val="16"/>
              <w:szCs w:val="16"/>
            </w:rPr>
          </w:pPr>
        </w:p>
      </w:tc>
    </w:tr>
    <w:tr w:rsidR="00B87E7F" w14:paraId="5E1BA628" w14:textId="77777777" w:rsidTr="00A81175">
      <w:trPr>
        <w:trHeight w:hRule="exact" w:val="1049"/>
      </w:trPr>
      <w:tc>
        <w:tcPr>
          <w:tcW w:w="5925" w:type="dxa"/>
          <w:noWrap/>
          <w:tcMar>
            <w:left w:w="284" w:type="dxa"/>
          </w:tcMar>
          <w:vAlign w:val="bottom"/>
        </w:tcPr>
        <w:p w14:paraId="60C72912" w14:textId="77777777" w:rsidR="00B87E7F" w:rsidRDefault="00B87E7F" w:rsidP="00E40B63">
          <w:pPr>
            <w:pStyle w:val="Kopfzeile"/>
            <w:widowControl w:val="0"/>
            <w:spacing w:line="340" w:lineRule="exact"/>
          </w:pPr>
          <w:bookmarkStart w:id="3" w:name="HeaderPage2Date"/>
          <w:bookmarkEnd w:id="3"/>
        </w:p>
      </w:tc>
      <w:tc>
        <w:tcPr>
          <w:tcW w:w="3686" w:type="dxa"/>
          <w:gridSpan w:val="2"/>
          <w:noWrap/>
          <w:tcMar>
            <w:left w:w="68" w:type="dxa"/>
          </w:tcMar>
          <w:vAlign w:val="bottom"/>
        </w:tcPr>
        <w:p w14:paraId="537F84EF" w14:textId="77777777" w:rsidR="00B87E7F" w:rsidRDefault="00E40B63" w:rsidP="000954FC">
          <w:pPr>
            <w:pStyle w:val="Kopfzeile"/>
            <w:tabs>
              <w:tab w:val="left" w:pos="1474"/>
              <w:tab w:val="left" w:pos="5273"/>
              <w:tab w:val="left" w:pos="6480"/>
            </w:tabs>
            <w:spacing w:line="200" w:lineRule="exact"/>
            <w:ind w:right="440"/>
            <w:jc w:val="center"/>
          </w:pPr>
          <w:bookmarkStart w:id="4" w:name="HeaderPage2Name"/>
          <w:bookmarkEnd w:id="4"/>
          <w:r>
            <w:t xml:space="preserve">                </w:t>
          </w:r>
        </w:p>
      </w:tc>
    </w:tr>
    <w:bookmarkEnd w:id="2"/>
  </w:tbl>
  <w:p w14:paraId="63FEFF6A" w14:textId="77777777" w:rsidR="00B87E7F" w:rsidRDefault="00B87E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14:paraId="74B49B59" w14:textId="77777777" w:rsidTr="00A81175">
      <w:trPr>
        <w:trHeight w:hRule="exact" w:val="794"/>
      </w:trPr>
      <w:tc>
        <w:tcPr>
          <w:tcW w:w="6067" w:type="dxa"/>
          <w:noWrap/>
          <w:vAlign w:val="bottom"/>
        </w:tcPr>
        <w:p w14:paraId="3894610C" w14:textId="2A7CA29E" w:rsidR="00B87E7F" w:rsidRDefault="00496474">
          <w:pPr>
            <w:pStyle w:val="Kopfzeile"/>
            <w:widowControl w:val="0"/>
            <w:rPr>
              <w:rFonts w:cs="Arial"/>
              <w:sz w:val="16"/>
              <w:szCs w:val="16"/>
            </w:rPr>
          </w:pPr>
          <w:bookmarkStart w:id="7" w:name="Kopf1"/>
          <w:r>
            <w:rPr>
              <w:rFonts w:cs="Arial"/>
              <w:noProof/>
              <w:sz w:val="16"/>
              <w:szCs w:val="16"/>
              <w:lang w:val="en-US" w:eastAsia="zh-TW"/>
            </w:rPr>
            <w:drawing>
              <wp:inline distT="0" distB="0" distL="0" distR="0" wp14:anchorId="0A7762F7" wp14:editId="211C4FDC">
                <wp:extent cx="2105025" cy="438150"/>
                <wp:effectExtent l="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3544" w:type="dxa"/>
          <w:noWrap/>
          <w:tcMar>
            <w:left w:w="17" w:type="dxa"/>
          </w:tcMar>
          <w:vAlign w:val="bottom"/>
        </w:tcPr>
        <w:p w14:paraId="2F5BED8A" w14:textId="15436666" w:rsidR="00B87E7F" w:rsidRDefault="00496474" w:rsidP="00CF4016">
          <w:pPr>
            <w:pStyle w:val="Kopfzeile"/>
            <w:tabs>
              <w:tab w:val="left" w:pos="786"/>
              <w:tab w:val="left" w:pos="1772"/>
              <w:tab w:val="left" w:pos="3291"/>
              <w:tab w:val="left" w:pos="5273"/>
              <w:tab w:val="left" w:pos="6480"/>
            </w:tabs>
            <w:spacing w:after="10"/>
            <w:jc w:val="right"/>
            <w:rPr>
              <w:sz w:val="16"/>
              <w:szCs w:val="16"/>
            </w:rPr>
          </w:pPr>
          <w:r>
            <w:rPr>
              <w:noProof/>
              <w:sz w:val="16"/>
              <w:szCs w:val="16"/>
              <w:lang w:val="en-US" w:eastAsia="zh-TW"/>
            </w:rPr>
            <w:drawing>
              <wp:inline distT="0" distB="0" distL="0" distR="0" wp14:anchorId="55BC12FF" wp14:editId="2B31A677">
                <wp:extent cx="1295400" cy="438150"/>
                <wp:effectExtent l="0" t="0" r="0" b="0"/>
                <wp:docPr id="10" name="Picture 10"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B87E7F" w14:paraId="35B77021" w14:textId="77777777" w:rsidTr="00A81175">
      <w:trPr>
        <w:trHeight w:hRule="exact" w:val="1047"/>
      </w:trPr>
      <w:tc>
        <w:tcPr>
          <w:tcW w:w="6067" w:type="dxa"/>
          <w:noWrap/>
          <w:tcMar>
            <w:left w:w="352" w:type="dxa"/>
          </w:tcMar>
          <w:vAlign w:val="bottom"/>
        </w:tcPr>
        <w:p w14:paraId="4FB8ABD4" w14:textId="77777777" w:rsidR="00B87E7F" w:rsidRDefault="00B87E7F">
          <w:pPr>
            <w:pStyle w:val="Kopfzeile"/>
            <w:widowControl w:val="0"/>
            <w:spacing w:line="200" w:lineRule="exact"/>
            <w:rPr>
              <w:rFonts w:cs="Arial"/>
            </w:rPr>
          </w:pPr>
        </w:p>
        <w:p w14:paraId="7AA4BFA6" w14:textId="77777777" w:rsidR="00B87E7F" w:rsidRDefault="00B87E7F">
          <w:pPr>
            <w:pStyle w:val="Kopfzeile"/>
            <w:widowControl w:val="0"/>
            <w:spacing w:line="200" w:lineRule="exact"/>
            <w:rPr>
              <w:rFonts w:cs="Arial"/>
            </w:rPr>
          </w:pPr>
        </w:p>
        <w:p w14:paraId="1D594921" w14:textId="77777777" w:rsidR="00B87E7F" w:rsidRDefault="00B87E7F">
          <w:pPr>
            <w:pStyle w:val="Kopfzeile"/>
            <w:widowControl w:val="0"/>
            <w:spacing w:line="200" w:lineRule="exact"/>
            <w:rPr>
              <w:rFonts w:cs="Arial"/>
            </w:rPr>
          </w:pPr>
        </w:p>
      </w:tc>
      <w:tc>
        <w:tcPr>
          <w:tcW w:w="3544" w:type="dxa"/>
          <w:noWrap/>
          <w:tcMar>
            <w:left w:w="0" w:type="dxa"/>
          </w:tcMar>
          <w:vAlign w:val="bottom"/>
        </w:tcPr>
        <w:p w14:paraId="05573A5A" w14:textId="77777777" w:rsidR="00B87E7F" w:rsidRDefault="00B87E7F">
          <w:pPr>
            <w:pStyle w:val="Kopfzeile"/>
            <w:tabs>
              <w:tab w:val="left" w:pos="5273"/>
              <w:tab w:val="left" w:pos="6480"/>
            </w:tabs>
            <w:rPr>
              <w:szCs w:val="22"/>
            </w:rPr>
          </w:pPr>
          <w:bookmarkStart w:id="8" w:name="TitleLine01"/>
          <w:bookmarkEnd w:id="8"/>
        </w:p>
        <w:p w14:paraId="7E664D7B" w14:textId="77777777" w:rsidR="00B87E7F" w:rsidRDefault="00B87E7F">
          <w:pPr>
            <w:pStyle w:val="Kopfzeile"/>
            <w:tabs>
              <w:tab w:val="left" w:pos="5273"/>
              <w:tab w:val="left" w:pos="6480"/>
            </w:tabs>
            <w:rPr>
              <w:sz w:val="14"/>
              <w:szCs w:val="14"/>
            </w:rPr>
          </w:pPr>
          <w:bookmarkStart w:id="9" w:name="TitleLine02"/>
          <w:bookmarkEnd w:id="9"/>
        </w:p>
      </w:tc>
    </w:tr>
  </w:tbl>
  <w:p w14:paraId="595572FC" w14:textId="77777777" w:rsidR="00B87E7F" w:rsidRDefault="00B87E7F">
    <w:pPr>
      <w:pStyle w:val="Kopfzeile"/>
      <w:rPr>
        <w:sz w:val="14"/>
        <w:szCs w:val="14"/>
      </w:rPr>
    </w:pPr>
  </w:p>
  <w:bookmarkEnd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8A5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64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8A6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6EE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61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1E"/>
    <w:rsid w:val="00005A32"/>
    <w:rsid w:val="00017001"/>
    <w:rsid w:val="000205CF"/>
    <w:rsid w:val="00027C6B"/>
    <w:rsid w:val="000377F1"/>
    <w:rsid w:val="0004556C"/>
    <w:rsid w:val="00045BBE"/>
    <w:rsid w:val="00046DF6"/>
    <w:rsid w:val="000517CE"/>
    <w:rsid w:val="00052988"/>
    <w:rsid w:val="000670F9"/>
    <w:rsid w:val="00070A02"/>
    <w:rsid w:val="00074567"/>
    <w:rsid w:val="000954FC"/>
    <w:rsid w:val="000967EF"/>
    <w:rsid w:val="00097C2A"/>
    <w:rsid w:val="000A3B56"/>
    <w:rsid w:val="000B3827"/>
    <w:rsid w:val="000B7A88"/>
    <w:rsid w:val="000C277B"/>
    <w:rsid w:val="000C5C61"/>
    <w:rsid w:val="000C69F6"/>
    <w:rsid w:val="000D6F4C"/>
    <w:rsid w:val="000E7C73"/>
    <w:rsid w:val="000F4431"/>
    <w:rsid w:val="000F55C1"/>
    <w:rsid w:val="000F5979"/>
    <w:rsid w:val="00100DAA"/>
    <w:rsid w:val="001016A1"/>
    <w:rsid w:val="00102773"/>
    <w:rsid w:val="001047D4"/>
    <w:rsid w:val="001162C4"/>
    <w:rsid w:val="00121D43"/>
    <w:rsid w:val="00122065"/>
    <w:rsid w:val="0013631C"/>
    <w:rsid w:val="001424F3"/>
    <w:rsid w:val="00142FFF"/>
    <w:rsid w:val="001517DE"/>
    <w:rsid w:val="0015228F"/>
    <w:rsid w:val="0015764A"/>
    <w:rsid w:val="00166233"/>
    <w:rsid w:val="00167F88"/>
    <w:rsid w:val="00190BDE"/>
    <w:rsid w:val="001A2235"/>
    <w:rsid w:val="001A3E25"/>
    <w:rsid w:val="001A7E41"/>
    <w:rsid w:val="001B3FD7"/>
    <w:rsid w:val="001B68B8"/>
    <w:rsid w:val="001B732F"/>
    <w:rsid w:val="001C09FB"/>
    <w:rsid w:val="001C7D25"/>
    <w:rsid w:val="001D11EE"/>
    <w:rsid w:val="00217CF8"/>
    <w:rsid w:val="002225E0"/>
    <w:rsid w:val="002327E3"/>
    <w:rsid w:val="0026136E"/>
    <w:rsid w:val="00266C34"/>
    <w:rsid w:val="002703CB"/>
    <w:rsid w:val="00272269"/>
    <w:rsid w:val="00290042"/>
    <w:rsid w:val="0029499F"/>
    <w:rsid w:val="002A2289"/>
    <w:rsid w:val="002A62FF"/>
    <w:rsid w:val="002B6CD7"/>
    <w:rsid w:val="002C334B"/>
    <w:rsid w:val="002D0492"/>
    <w:rsid w:val="002D6472"/>
    <w:rsid w:val="002D6CF7"/>
    <w:rsid w:val="002F7473"/>
    <w:rsid w:val="00313276"/>
    <w:rsid w:val="00341924"/>
    <w:rsid w:val="0035374D"/>
    <w:rsid w:val="00357A64"/>
    <w:rsid w:val="003652EC"/>
    <w:rsid w:val="00381C1A"/>
    <w:rsid w:val="00392AA7"/>
    <w:rsid w:val="003972A1"/>
    <w:rsid w:val="003A0319"/>
    <w:rsid w:val="003B20DF"/>
    <w:rsid w:val="003B46B8"/>
    <w:rsid w:val="003C2B4D"/>
    <w:rsid w:val="003C7241"/>
    <w:rsid w:val="003C76F6"/>
    <w:rsid w:val="003D42FC"/>
    <w:rsid w:val="003E7C3B"/>
    <w:rsid w:val="004028B6"/>
    <w:rsid w:val="0040684D"/>
    <w:rsid w:val="00415C98"/>
    <w:rsid w:val="00426B3C"/>
    <w:rsid w:val="00427774"/>
    <w:rsid w:val="00441C23"/>
    <w:rsid w:val="004468FD"/>
    <w:rsid w:val="0045290E"/>
    <w:rsid w:val="0046122F"/>
    <w:rsid w:val="0046653D"/>
    <w:rsid w:val="00475879"/>
    <w:rsid w:val="00476D50"/>
    <w:rsid w:val="00480147"/>
    <w:rsid w:val="00484260"/>
    <w:rsid w:val="004918F0"/>
    <w:rsid w:val="00496474"/>
    <w:rsid w:val="004966E5"/>
    <w:rsid w:val="004A4286"/>
    <w:rsid w:val="004B1A26"/>
    <w:rsid w:val="004F1BBB"/>
    <w:rsid w:val="005055A9"/>
    <w:rsid w:val="00507639"/>
    <w:rsid w:val="00510B4E"/>
    <w:rsid w:val="00525565"/>
    <w:rsid w:val="005319AE"/>
    <w:rsid w:val="00535250"/>
    <w:rsid w:val="0054598E"/>
    <w:rsid w:val="00553842"/>
    <w:rsid w:val="00554A66"/>
    <w:rsid w:val="005577CC"/>
    <w:rsid w:val="00573361"/>
    <w:rsid w:val="005749DF"/>
    <w:rsid w:val="00575610"/>
    <w:rsid w:val="0057627B"/>
    <w:rsid w:val="00577627"/>
    <w:rsid w:val="005826D4"/>
    <w:rsid w:val="00582CBF"/>
    <w:rsid w:val="0058649C"/>
    <w:rsid w:val="00587BDB"/>
    <w:rsid w:val="00590AE1"/>
    <w:rsid w:val="005A29A5"/>
    <w:rsid w:val="005B68E7"/>
    <w:rsid w:val="005B7440"/>
    <w:rsid w:val="005C2664"/>
    <w:rsid w:val="005C66C5"/>
    <w:rsid w:val="005D6EE8"/>
    <w:rsid w:val="005E43F4"/>
    <w:rsid w:val="005E5AD8"/>
    <w:rsid w:val="005E74E6"/>
    <w:rsid w:val="005F735E"/>
    <w:rsid w:val="00606E25"/>
    <w:rsid w:val="00611D44"/>
    <w:rsid w:val="00622B87"/>
    <w:rsid w:val="0062498E"/>
    <w:rsid w:val="00625167"/>
    <w:rsid w:val="00647BFD"/>
    <w:rsid w:val="00647DEC"/>
    <w:rsid w:val="0065422C"/>
    <w:rsid w:val="00657BED"/>
    <w:rsid w:val="00663A57"/>
    <w:rsid w:val="0066781E"/>
    <w:rsid w:val="006700A1"/>
    <w:rsid w:val="0068644B"/>
    <w:rsid w:val="006A2FAF"/>
    <w:rsid w:val="006A685F"/>
    <w:rsid w:val="006A7516"/>
    <w:rsid w:val="006B29D1"/>
    <w:rsid w:val="006C010C"/>
    <w:rsid w:val="006C4CD8"/>
    <w:rsid w:val="00725226"/>
    <w:rsid w:val="00737FFC"/>
    <w:rsid w:val="00746679"/>
    <w:rsid w:val="00752DE3"/>
    <w:rsid w:val="00757E2B"/>
    <w:rsid w:val="00761898"/>
    <w:rsid w:val="0076737A"/>
    <w:rsid w:val="00770981"/>
    <w:rsid w:val="00770B30"/>
    <w:rsid w:val="00775D8B"/>
    <w:rsid w:val="007862F4"/>
    <w:rsid w:val="00786E15"/>
    <w:rsid w:val="007906E3"/>
    <w:rsid w:val="007909E0"/>
    <w:rsid w:val="007A401D"/>
    <w:rsid w:val="007B1CC4"/>
    <w:rsid w:val="007B4B51"/>
    <w:rsid w:val="007D0D1E"/>
    <w:rsid w:val="007E1FE9"/>
    <w:rsid w:val="007E2FA8"/>
    <w:rsid w:val="007E5219"/>
    <w:rsid w:val="00815352"/>
    <w:rsid w:val="00816B6E"/>
    <w:rsid w:val="00817468"/>
    <w:rsid w:val="0082058A"/>
    <w:rsid w:val="00826988"/>
    <w:rsid w:val="0083215A"/>
    <w:rsid w:val="008346CD"/>
    <w:rsid w:val="00853AC6"/>
    <w:rsid w:val="0085681C"/>
    <w:rsid w:val="008609A9"/>
    <w:rsid w:val="00866220"/>
    <w:rsid w:val="008664A0"/>
    <w:rsid w:val="008A1AA4"/>
    <w:rsid w:val="008B1F52"/>
    <w:rsid w:val="008D09A9"/>
    <w:rsid w:val="008D4845"/>
    <w:rsid w:val="008E033E"/>
    <w:rsid w:val="008E267C"/>
    <w:rsid w:val="008E47F1"/>
    <w:rsid w:val="00911076"/>
    <w:rsid w:val="0091332A"/>
    <w:rsid w:val="009237A6"/>
    <w:rsid w:val="00940963"/>
    <w:rsid w:val="00944246"/>
    <w:rsid w:val="009518A0"/>
    <w:rsid w:val="00964EBF"/>
    <w:rsid w:val="00970BB4"/>
    <w:rsid w:val="009721CF"/>
    <w:rsid w:val="00986EEA"/>
    <w:rsid w:val="00995BAA"/>
    <w:rsid w:val="009A65EF"/>
    <w:rsid w:val="009B55BF"/>
    <w:rsid w:val="009C2615"/>
    <w:rsid w:val="009D6A50"/>
    <w:rsid w:val="009F27A6"/>
    <w:rsid w:val="009F41FB"/>
    <w:rsid w:val="00A11667"/>
    <w:rsid w:val="00A138A1"/>
    <w:rsid w:val="00A31F36"/>
    <w:rsid w:val="00A5496E"/>
    <w:rsid w:val="00A63D0D"/>
    <w:rsid w:val="00A667B3"/>
    <w:rsid w:val="00A81175"/>
    <w:rsid w:val="00A93D9D"/>
    <w:rsid w:val="00AA4B2E"/>
    <w:rsid w:val="00AC69F7"/>
    <w:rsid w:val="00AE7935"/>
    <w:rsid w:val="00AF4CEB"/>
    <w:rsid w:val="00AF6EBA"/>
    <w:rsid w:val="00AF78DE"/>
    <w:rsid w:val="00B05245"/>
    <w:rsid w:val="00B07047"/>
    <w:rsid w:val="00B135D0"/>
    <w:rsid w:val="00B207E2"/>
    <w:rsid w:val="00B21651"/>
    <w:rsid w:val="00B247D1"/>
    <w:rsid w:val="00B25A36"/>
    <w:rsid w:val="00B54B2F"/>
    <w:rsid w:val="00B5597E"/>
    <w:rsid w:val="00B610A4"/>
    <w:rsid w:val="00B669B3"/>
    <w:rsid w:val="00B70040"/>
    <w:rsid w:val="00B75C51"/>
    <w:rsid w:val="00B81F98"/>
    <w:rsid w:val="00B87E7F"/>
    <w:rsid w:val="00B907BC"/>
    <w:rsid w:val="00BA2E9B"/>
    <w:rsid w:val="00BB050B"/>
    <w:rsid w:val="00BB4ED4"/>
    <w:rsid w:val="00BB533F"/>
    <w:rsid w:val="00BC1B32"/>
    <w:rsid w:val="00BC6C0E"/>
    <w:rsid w:val="00BD400C"/>
    <w:rsid w:val="00BD5B47"/>
    <w:rsid w:val="00BD7A15"/>
    <w:rsid w:val="00BE0D2B"/>
    <w:rsid w:val="00BE318F"/>
    <w:rsid w:val="00BE7D49"/>
    <w:rsid w:val="00BF68DC"/>
    <w:rsid w:val="00C015ED"/>
    <w:rsid w:val="00C11286"/>
    <w:rsid w:val="00C137E6"/>
    <w:rsid w:val="00C15829"/>
    <w:rsid w:val="00C31B24"/>
    <w:rsid w:val="00C32BC0"/>
    <w:rsid w:val="00C35454"/>
    <w:rsid w:val="00C446A2"/>
    <w:rsid w:val="00C47247"/>
    <w:rsid w:val="00C5070B"/>
    <w:rsid w:val="00C706FA"/>
    <w:rsid w:val="00C7409F"/>
    <w:rsid w:val="00C8788D"/>
    <w:rsid w:val="00C91F7A"/>
    <w:rsid w:val="00CB1CDD"/>
    <w:rsid w:val="00CC289C"/>
    <w:rsid w:val="00CD5271"/>
    <w:rsid w:val="00CE14D0"/>
    <w:rsid w:val="00CF3A5B"/>
    <w:rsid w:val="00CF4016"/>
    <w:rsid w:val="00CF5EFA"/>
    <w:rsid w:val="00D0349B"/>
    <w:rsid w:val="00D159F0"/>
    <w:rsid w:val="00D24448"/>
    <w:rsid w:val="00D2661C"/>
    <w:rsid w:val="00D33C22"/>
    <w:rsid w:val="00D354C4"/>
    <w:rsid w:val="00D447D8"/>
    <w:rsid w:val="00D53E54"/>
    <w:rsid w:val="00D775DD"/>
    <w:rsid w:val="00D9358A"/>
    <w:rsid w:val="00DA06FD"/>
    <w:rsid w:val="00DA1F1C"/>
    <w:rsid w:val="00DA25F3"/>
    <w:rsid w:val="00DA5C88"/>
    <w:rsid w:val="00DA5F0C"/>
    <w:rsid w:val="00DB5292"/>
    <w:rsid w:val="00DB6B37"/>
    <w:rsid w:val="00DC2191"/>
    <w:rsid w:val="00DD5635"/>
    <w:rsid w:val="00E0667B"/>
    <w:rsid w:val="00E160D3"/>
    <w:rsid w:val="00E23983"/>
    <w:rsid w:val="00E33264"/>
    <w:rsid w:val="00E3719C"/>
    <w:rsid w:val="00E40B63"/>
    <w:rsid w:val="00E43F76"/>
    <w:rsid w:val="00E520BA"/>
    <w:rsid w:val="00E64D7E"/>
    <w:rsid w:val="00E86E98"/>
    <w:rsid w:val="00E972EE"/>
    <w:rsid w:val="00EA42B2"/>
    <w:rsid w:val="00EA56C5"/>
    <w:rsid w:val="00EA6D12"/>
    <w:rsid w:val="00EB248B"/>
    <w:rsid w:val="00EB2B19"/>
    <w:rsid w:val="00EC42AE"/>
    <w:rsid w:val="00EC57A1"/>
    <w:rsid w:val="00ED51C1"/>
    <w:rsid w:val="00ED69B4"/>
    <w:rsid w:val="00EF0EB0"/>
    <w:rsid w:val="00F00F41"/>
    <w:rsid w:val="00F012BD"/>
    <w:rsid w:val="00F05104"/>
    <w:rsid w:val="00F2224A"/>
    <w:rsid w:val="00F22CB6"/>
    <w:rsid w:val="00F32FF4"/>
    <w:rsid w:val="00F4020D"/>
    <w:rsid w:val="00F412EC"/>
    <w:rsid w:val="00F57981"/>
    <w:rsid w:val="00F6444D"/>
    <w:rsid w:val="00F72BD8"/>
    <w:rsid w:val="00F84A5D"/>
    <w:rsid w:val="00FA4F0A"/>
    <w:rsid w:val="00FB1445"/>
    <w:rsid w:val="00FB1801"/>
    <w:rsid w:val="00FC2239"/>
    <w:rsid w:val="00FC5CF1"/>
    <w:rsid w:val="00FD2250"/>
    <w:rsid w:val="00FE19AD"/>
    <w:rsid w:val="00FE34B1"/>
    <w:rsid w:val="00FF6081"/>
    <w:rsid w:val="039AD27A"/>
    <w:rsid w:val="0441F49E"/>
    <w:rsid w:val="0AFDD6F1"/>
    <w:rsid w:val="1A28254E"/>
    <w:rsid w:val="218B29C5"/>
    <w:rsid w:val="46C03F8E"/>
    <w:rsid w:val="4E6B912D"/>
    <w:rsid w:val="57EE4737"/>
    <w:rsid w:val="630058E0"/>
    <w:rsid w:val="649C2941"/>
    <w:rsid w:val="65000643"/>
    <w:rsid w:val="79F64E13"/>
    <w:rsid w:val="7DF4B44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B61D7F"/>
  <w15:docId w15:val="{7A5EE0A7-E1A6-4C2E-884D-69619822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berschrift5">
    <w:name w:val="heading 5"/>
    <w:basedOn w:val="Standard"/>
    <w:next w:val="Standard"/>
    <w:link w:val="berschrift5Zchn"/>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berschrift6">
    <w:name w:val="heading 6"/>
    <w:basedOn w:val="Standard"/>
    <w:next w:val="Standard"/>
    <w:link w:val="berschrift6Zchn"/>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berschrift7">
    <w:name w:val="heading 7"/>
    <w:basedOn w:val="Standard"/>
    <w:next w:val="Standard"/>
    <w:link w:val="berschrift7Zchn"/>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berschrift8">
    <w:name w:val="heading 8"/>
    <w:basedOn w:val="Standard"/>
    <w:next w:val="Standard"/>
    <w:link w:val="berschrift8Zchn"/>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berschrift9">
    <w:name w:val="heading 9"/>
    <w:basedOn w:val="Standard"/>
    <w:next w:val="Standard"/>
    <w:link w:val="berschrift9Zchn"/>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F32FF4"/>
    <w:rPr>
      <w:rFonts w:ascii="Arial" w:hAnsi="Arial"/>
      <w:b/>
      <w:sz w:val="22"/>
      <w:lang w:eastAsia="de-DE"/>
    </w:rPr>
  </w:style>
  <w:style w:type="character" w:customStyle="1" w:styleId="berschrift5Zchn">
    <w:name w:val="Überschrift 5 Zchn"/>
    <w:basedOn w:val="Absatz-Standardschriftart"/>
    <w:link w:val="berschrift5"/>
    <w:rsid w:val="00F32FF4"/>
    <w:rPr>
      <w:rFonts w:ascii="Arial" w:hAnsi="Arial"/>
      <w:b/>
      <w:sz w:val="22"/>
      <w:lang w:eastAsia="de-DE"/>
    </w:rPr>
  </w:style>
  <w:style w:type="character" w:customStyle="1" w:styleId="berschrift6Zchn">
    <w:name w:val="Überschrift 6 Zchn"/>
    <w:basedOn w:val="Absatz-Standardschriftart"/>
    <w:link w:val="berschrift6"/>
    <w:rsid w:val="00F32FF4"/>
    <w:rPr>
      <w:rFonts w:ascii="Arial" w:hAnsi="Arial"/>
      <w:b/>
      <w:sz w:val="22"/>
      <w:lang w:eastAsia="de-DE"/>
    </w:rPr>
  </w:style>
  <w:style w:type="character" w:customStyle="1" w:styleId="berschrift7Zchn">
    <w:name w:val="Überschrift 7 Zchn"/>
    <w:basedOn w:val="Absatz-Standardschriftart"/>
    <w:link w:val="berschrift7"/>
    <w:rsid w:val="00F32FF4"/>
    <w:rPr>
      <w:rFonts w:ascii="Arial" w:hAnsi="Arial"/>
      <w:b/>
      <w:sz w:val="22"/>
      <w:lang w:eastAsia="de-DE"/>
    </w:rPr>
  </w:style>
  <w:style w:type="character" w:customStyle="1" w:styleId="berschrift8Zchn">
    <w:name w:val="Überschrift 8 Zchn"/>
    <w:basedOn w:val="Absatz-Standardschriftart"/>
    <w:link w:val="berschrift8"/>
    <w:rsid w:val="00F32FF4"/>
    <w:rPr>
      <w:rFonts w:ascii="Arial" w:hAnsi="Arial"/>
      <w:b/>
      <w:sz w:val="22"/>
      <w:lang w:eastAsia="de-DE"/>
    </w:rPr>
  </w:style>
  <w:style w:type="character" w:customStyle="1" w:styleId="berschrift9Zchn">
    <w:name w:val="Überschrift 9 Zchn"/>
    <w:basedOn w:val="Absatz-Standardschriftart"/>
    <w:link w:val="berschrift9"/>
    <w:rsid w:val="00F32FF4"/>
    <w:rPr>
      <w:rFonts w:ascii="Arial" w:hAnsi="Arial"/>
      <w:b/>
      <w:sz w:val="22"/>
      <w:lang w:eastAsia="de-DE"/>
    </w:rPr>
  </w:style>
  <w:style w:type="paragraph" w:styleId="Kommentarthema">
    <w:name w:val="annotation subject"/>
    <w:basedOn w:val="Kommentartext"/>
    <w:next w:val="Kommentartext"/>
    <w:link w:val="KommentarthemaZchn"/>
    <w:uiPriority w:val="99"/>
    <w:semiHidden/>
    <w:unhideWhenUsed/>
    <w:rsid w:val="00FE19AD"/>
    <w:rPr>
      <w:b/>
      <w:bCs/>
    </w:rPr>
  </w:style>
  <w:style w:type="character" w:customStyle="1" w:styleId="KommentartextZchn">
    <w:name w:val="Kommentartext Zchn"/>
    <w:basedOn w:val="Absatz-Standardschriftart"/>
    <w:link w:val="Kommentartext"/>
    <w:semiHidden/>
    <w:rsid w:val="00FE19AD"/>
    <w:rPr>
      <w:rFonts w:ascii="Arial" w:hAnsi="Arial"/>
      <w:lang w:eastAsia="de-DE"/>
    </w:rPr>
  </w:style>
  <w:style w:type="character" w:customStyle="1" w:styleId="KommentarthemaZchn">
    <w:name w:val="Kommentarthema Zchn"/>
    <w:basedOn w:val="KommentartextZchn"/>
    <w:link w:val="Kommentarthema"/>
    <w:uiPriority w:val="99"/>
    <w:semiHidden/>
    <w:rsid w:val="00FE19AD"/>
    <w:rPr>
      <w:rFonts w:ascii="Arial" w:hAnsi="Arial"/>
      <w:b/>
      <w:bCs/>
      <w:lang w:eastAsia="de-DE"/>
    </w:rPr>
  </w:style>
  <w:style w:type="paragraph" w:styleId="berarbeitung">
    <w:name w:val="Revision"/>
    <w:hidden/>
    <w:uiPriority w:val="99"/>
    <w:semiHidden/>
    <w:rsid w:val="00C91F7A"/>
    <w:rPr>
      <w:rFonts w:ascii="Arial" w:hAnsi="Arial"/>
      <w:sz w:val="22"/>
      <w:szCs w:val="24"/>
      <w:lang w:eastAsia="de-DE"/>
    </w:rPr>
  </w:style>
  <w:style w:type="character" w:styleId="NichtaufgelsteErwhnung">
    <w:name w:val="Unresolved Mention"/>
    <w:basedOn w:val="Absatz-Standardschriftart"/>
    <w:uiPriority w:val="99"/>
    <w:semiHidden/>
    <w:unhideWhenUsed/>
    <w:rsid w:val="00817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938">
      <w:bodyDiv w:val="1"/>
      <w:marLeft w:val="0"/>
      <w:marRight w:val="0"/>
      <w:marTop w:val="0"/>
      <w:marBottom w:val="0"/>
      <w:divBdr>
        <w:top w:val="none" w:sz="0" w:space="0" w:color="auto"/>
        <w:left w:val="none" w:sz="0" w:space="0" w:color="auto"/>
        <w:bottom w:val="none" w:sz="0" w:space="0" w:color="auto"/>
        <w:right w:val="none" w:sz="0" w:space="0" w:color="auto"/>
      </w:divBdr>
    </w:div>
    <w:div w:id="48925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4" ma:contentTypeDescription="Create a new document." ma:contentTypeScope="" ma:versionID="7a7d8421b16209c0c333b28e4bf2b5ca">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d820c599090f0cb0e1f4b55d73460fc"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ProjectNumber xmlns="4c8b7340-27af-46e0-a773-cd01dd49d603" xsi:nil="true"/>
    <Customer xmlns="4c8b7340-27af-46e0-a773-cd01dd49d603" xsi:nil="true"/>
    <Imageretouched_x003f_ xmlns="4c8b7340-27af-46e0-a773-cd01dd49d603">false</Imageretouched_x003f_>
    <Notes xmlns="4c8b7340-27af-46e0-a773-cd01dd49d603" xsi:nil="true"/>
    <SharedWithUsers xmlns="c5e66cff-1563-40b2-b7dc-4221d2eb79ba">
      <UserInfo>
        <DisplayName>Burlew, Kathy</DisplayName>
        <AccountId>19</AccountId>
        <AccountType/>
      </UserInfo>
      <UserInfo>
        <DisplayName>Koenig, Bettina</DisplayName>
        <AccountId>12</AccountId>
        <AccountType/>
      </UserInfo>
      <UserInfo>
        <DisplayName>Conrad, Julia</DisplayName>
        <AccountId>35</AccountId>
        <AccountType/>
      </UserInfo>
      <UserInfo>
        <DisplayName>Nowak, Sharon</DisplayName>
        <AccountId>318</AccountId>
        <AccountType/>
      </UserInfo>
    </SharedWithUsers>
    <TaxCatchAll xmlns="fc8ec02c-fdac-4919-9930-187d1b9ed258" xsi:nil="true"/>
    <lcf76f155ced4ddcb4097134ff3c332f xmlns="4c8b7340-27af-46e0-a773-cd01dd49d6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29071-DD64-4AB1-97E8-4A76F4CB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53B12-80CD-4294-BCC0-15DF82BF3409}">
  <ds:schemaRefs>
    <ds:schemaRef ds:uri="http://schemas.openxmlformats.org/officeDocument/2006/bibliography"/>
  </ds:schemaRefs>
</ds:datastoreItem>
</file>

<file path=customXml/itemProps3.xml><?xml version="1.0" encoding="utf-8"?>
<ds:datastoreItem xmlns:ds="http://schemas.openxmlformats.org/officeDocument/2006/customXml" ds:itemID="{45E1BA9B-B0C3-4824-B589-A887D50132DE}">
  <ds:schemaRefs>
    <ds:schemaRef ds:uri="http://schemas.microsoft.com/office/2006/metadata/properties"/>
    <ds:schemaRef ds:uri="http://schemas.microsoft.com/office/infopath/2007/PartnerControls"/>
    <ds:schemaRef ds:uri="4c8b7340-27af-46e0-a773-cd01dd49d603"/>
    <ds:schemaRef ds:uri="c5e66cff-1563-40b2-b7dc-4221d2eb79ba"/>
    <ds:schemaRef ds:uri="fc8ec02c-fdac-4919-9930-187d1b9ed258"/>
  </ds:schemaRefs>
</ds:datastoreItem>
</file>

<file path=customXml/itemProps4.xml><?xml version="1.0" encoding="utf-8"?>
<ds:datastoreItem xmlns:ds="http://schemas.openxmlformats.org/officeDocument/2006/customXml" ds:itemID="{E0C92A0A-2627-4321-A5B1-BC29F7123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6405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Coperion Blank Document</vt:lpstr>
    </vt:vector>
  </TitlesOfParts>
  <Company>Coperion</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Conrad, Julia</cp:lastModifiedBy>
  <cp:revision>5</cp:revision>
  <cp:lastPrinted>2019-02-26T16:50:00Z</cp:lastPrinted>
  <dcterms:created xsi:type="dcterms:W3CDTF">2022-05-09T16:09:00Z</dcterms:created>
  <dcterms:modified xsi:type="dcterms:W3CDTF">2022-05-11T06:59:00Z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