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CF970" w14:textId="6C80AEB3" w:rsidR="00B87E7F" w:rsidRPr="006431DC" w:rsidRDefault="008609A9" w:rsidP="00970BB4">
      <w:pPr>
        <w:pStyle w:val="Kontakt"/>
        <w:ind w:left="7230"/>
        <w:rPr>
          <w:b/>
        </w:rPr>
      </w:pPr>
      <w:bookmarkStart w:id="0" w:name="_GoBack"/>
      <w:bookmarkEnd w:id="0"/>
      <w:r>
        <w:rPr>
          <w:b/>
        </w:rPr>
        <w:t>İletişim</w:t>
      </w:r>
    </w:p>
    <w:p w14:paraId="6F7A29CE" w14:textId="24119162" w:rsidR="00B87E7F" w:rsidRPr="006431DC" w:rsidRDefault="00E24445">
      <w:pPr>
        <w:pStyle w:val="Kontakt"/>
        <w:ind w:left="7230"/>
      </w:pPr>
      <w:r>
        <w:t>Regula Sullivan</w:t>
      </w:r>
    </w:p>
    <w:p w14:paraId="3CA2C829" w14:textId="4C7EB801" w:rsidR="00B87E7F" w:rsidRPr="006431DC" w:rsidRDefault="000B7A88" w:rsidP="00A81175">
      <w:pPr>
        <w:pStyle w:val="Kontakt"/>
        <w:ind w:left="7230"/>
      </w:pPr>
      <w:r>
        <w:t>Pazarlama İletişimi</w:t>
      </w:r>
    </w:p>
    <w:p w14:paraId="4BE59E57" w14:textId="34A6AF6A" w:rsidR="00B87E7F" w:rsidRPr="006431DC" w:rsidRDefault="00B87E7F" w:rsidP="00A81175">
      <w:pPr>
        <w:pStyle w:val="Kontakt"/>
        <w:ind w:left="7230" w:right="-511"/>
      </w:pPr>
      <w:r>
        <w:t>Coperion K-Tron (Switzerland) LLC</w:t>
      </w:r>
    </w:p>
    <w:p w14:paraId="42F85A74" w14:textId="010CF662" w:rsidR="008609A9" w:rsidRPr="006431DC" w:rsidRDefault="00E24445" w:rsidP="000B7A88">
      <w:pPr>
        <w:pStyle w:val="Kontakt"/>
        <w:ind w:left="7230"/>
      </w:pPr>
      <w:r>
        <w:t>Lenzhardweg 43/45</w:t>
      </w:r>
    </w:p>
    <w:p w14:paraId="4CB2EEBA" w14:textId="5F1A8D8B" w:rsidR="00B87E7F" w:rsidRPr="006431DC" w:rsidRDefault="00E24445" w:rsidP="00A81175">
      <w:pPr>
        <w:pStyle w:val="Kontakt"/>
        <w:ind w:left="7230"/>
      </w:pPr>
      <w:r>
        <w:t>CH-5702 Niederlenz</w:t>
      </w:r>
    </w:p>
    <w:p w14:paraId="077D4691" w14:textId="77777777" w:rsidR="00B87E7F" w:rsidRPr="006431DC" w:rsidRDefault="00B87E7F">
      <w:pPr>
        <w:pStyle w:val="Kontakt"/>
        <w:ind w:left="7230"/>
        <w:rPr>
          <w:lang w:val="de-CH"/>
        </w:rPr>
      </w:pPr>
    </w:p>
    <w:p w14:paraId="6C08D8DA" w14:textId="672DBFD6" w:rsidR="00B87E7F" w:rsidRPr="006431DC" w:rsidRDefault="00415C98" w:rsidP="00A81175">
      <w:pPr>
        <w:pStyle w:val="Kontakt"/>
        <w:ind w:left="7230"/>
      </w:pPr>
      <w:r>
        <w:t>Tel: +41 62 885 7171</w:t>
      </w:r>
    </w:p>
    <w:p w14:paraId="2A741B88" w14:textId="6EDA47C5" w:rsidR="00B87E7F" w:rsidRPr="006431DC" w:rsidRDefault="00E24445" w:rsidP="00A81175">
      <w:pPr>
        <w:pStyle w:val="Kontakt"/>
        <w:ind w:left="7230" w:right="-186"/>
      </w:pPr>
      <w:r>
        <w:t>regula.sullivan@coperion.com</w:t>
      </w:r>
    </w:p>
    <w:p w14:paraId="4350FF75" w14:textId="77777777" w:rsidR="00B87E7F" w:rsidRPr="008406EE" w:rsidRDefault="00B87E7F" w:rsidP="00A81175">
      <w:pPr>
        <w:pStyle w:val="Kontakt"/>
        <w:ind w:left="7230"/>
      </w:pPr>
      <w:r>
        <w:t>www.coperion.com</w:t>
      </w:r>
    </w:p>
    <w:p w14:paraId="1564F72F" w14:textId="77777777" w:rsidR="00357A64" w:rsidRPr="00586D79" w:rsidRDefault="00357A64" w:rsidP="00357A64">
      <w:pPr>
        <w:snapToGrid w:val="0"/>
        <w:spacing w:line="360" w:lineRule="auto"/>
        <w:ind w:left="-72"/>
        <w:rPr>
          <w:rFonts w:cs="Arial"/>
          <w:szCs w:val="22"/>
        </w:rPr>
      </w:pPr>
    </w:p>
    <w:p w14:paraId="082C6823" w14:textId="121556B4" w:rsidR="00582CBF" w:rsidRPr="00586D79" w:rsidRDefault="00582CBF" w:rsidP="000954FC">
      <w:pPr>
        <w:pStyle w:val="Pressemitteilung"/>
        <w:tabs>
          <w:tab w:val="left" w:pos="7200"/>
        </w:tabs>
      </w:pPr>
    </w:p>
    <w:p w14:paraId="2A62F1B4" w14:textId="77777777" w:rsidR="00E6196B" w:rsidRPr="006431DC" w:rsidRDefault="00E6196B" w:rsidP="00E6196B">
      <w:pPr>
        <w:suppressAutoHyphens/>
        <w:spacing w:before="200"/>
        <w:rPr>
          <w:rFonts w:cs="Arial"/>
          <w:b/>
        </w:rPr>
      </w:pPr>
      <w:r>
        <w:rPr>
          <w:b/>
        </w:rPr>
        <w:t>Basın Bülteni</w:t>
      </w:r>
    </w:p>
    <w:p w14:paraId="30DF4A34" w14:textId="77777777" w:rsidR="00E6196B" w:rsidRPr="00586D79" w:rsidRDefault="00E6196B" w:rsidP="00E6196B">
      <w:pPr>
        <w:suppressAutoHyphens/>
        <w:rPr>
          <w:rFonts w:cs="Arial"/>
          <w:lang w:eastAsia="ar-SA"/>
        </w:rPr>
      </w:pPr>
    </w:p>
    <w:p w14:paraId="42CF8E49" w14:textId="034C2A03" w:rsidR="006F68AA" w:rsidRPr="003A0511" w:rsidRDefault="00193C95" w:rsidP="00582B7F">
      <w:pPr>
        <w:pStyle w:val="berschrift14p"/>
        <w:rPr>
          <w:bCs/>
          <w:sz w:val="22"/>
          <w:szCs w:val="22"/>
        </w:rPr>
      </w:pPr>
      <w:r>
        <w:rPr>
          <w:sz w:val="22"/>
        </w:rPr>
        <w:t>Plastik Endüstrisi için tecrübe ile tasarlanmış besleyicilerle güçlü ve verimli çözümler sunuyor.</w:t>
      </w:r>
    </w:p>
    <w:p w14:paraId="7998F0BB" w14:textId="09709EF5" w:rsidR="00582B7F" w:rsidRDefault="00582B7F" w:rsidP="00582B7F">
      <w:pPr>
        <w:pStyle w:val="berschrift14p"/>
        <w:rPr>
          <w:bCs/>
          <w:szCs w:val="28"/>
        </w:rPr>
      </w:pPr>
      <w:r>
        <w:t xml:space="preserve">Coperion K-Tron Yeni ProRate PLUS Besleme </w:t>
      </w:r>
      <w:r w:rsidR="005A49EC">
        <w:t>Sistemlerini İftiharla</w:t>
      </w:r>
      <w:r>
        <w:t xml:space="preserve"> Duyuruyor</w:t>
      </w:r>
      <w:r w:rsidR="005A49EC">
        <w:t>.</w:t>
      </w:r>
    </w:p>
    <w:p w14:paraId="11894AF5" w14:textId="00EE1A0E" w:rsidR="006A53F5" w:rsidRPr="00755D4D" w:rsidRDefault="006A53F5" w:rsidP="003A0511"/>
    <w:p w14:paraId="7B581E4E" w14:textId="77777777" w:rsidR="00582B7F" w:rsidRPr="00755D4D" w:rsidRDefault="00582B7F" w:rsidP="00582B7F">
      <w:pPr>
        <w:suppressAutoHyphens/>
        <w:spacing w:line="360" w:lineRule="auto"/>
        <w:rPr>
          <w:rFonts w:cs="Arial"/>
          <w:i/>
          <w:szCs w:val="22"/>
          <w:lang w:eastAsia="ar-SA"/>
        </w:rPr>
      </w:pPr>
    </w:p>
    <w:p w14:paraId="7E8F9795" w14:textId="2564372F" w:rsidR="00582B7F" w:rsidRPr="005E1728" w:rsidRDefault="00582B7F" w:rsidP="00582B7F">
      <w:pPr>
        <w:suppressAutoHyphens/>
        <w:spacing w:after="240" w:line="360" w:lineRule="auto"/>
      </w:pPr>
      <w:r>
        <w:rPr>
          <w:i/>
        </w:rPr>
        <w:t>Niederlenz, İsviçre (Ocak 2022)</w:t>
      </w:r>
      <w:r>
        <w:t xml:space="preserve"> – Coperion K-Tron, ProRate™ </w:t>
      </w:r>
      <w:r w:rsidR="005A49EC">
        <w:t xml:space="preserve">orijinal </w:t>
      </w:r>
      <w:r>
        <w:t>besle</w:t>
      </w:r>
      <w:r w:rsidR="005A49EC">
        <w:t>me sistemlerini</w:t>
      </w:r>
      <w:r w:rsidR="005E1728">
        <w:t xml:space="preserve"> içeren portföyünü tamamı ile yeni ve etkin maliyetli besleyicileri ile</w:t>
      </w:r>
      <w:r>
        <w:t xml:space="preserve"> ProRate PLUS ad</w:t>
      </w:r>
      <w:r w:rsidR="005A49EC">
        <w:t xml:space="preserve">ı </w:t>
      </w:r>
      <w:r w:rsidR="005E1728">
        <w:t xml:space="preserve">altında </w:t>
      </w:r>
      <w:r>
        <w:t xml:space="preserve">genişlettiğini </w:t>
      </w:r>
      <w:r w:rsidR="002D5447">
        <w:t>iftiharla duyurur</w:t>
      </w:r>
      <w:r>
        <w:t xml:space="preserve">. </w:t>
      </w:r>
      <w:r w:rsidR="003D0D75">
        <w:t xml:space="preserve">Coperion K-Tron, 100 yıllık besleme sistemlerindeki tecrübesi ile </w:t>
      </w:r>
      <w:r>
        <w:t xml:space="preserve">Plastik endüstrisinde </w:t>
      </w:r>
      <w:r w:rsidR="003D0D75">
        <w:t xml:space="preserve">Pazar ihtiyacını karşılayacak </w:t>
      </w:r>
      <w:r>
        <w:t xml:space="preserve">sağlam ve güvenilir </w:t>
      </w:r>
      <w:r w:rsidR="00955A97">
        <w:t xml:space="preserve">yeni bir besleyici ürün grubu geliştirmiştir. </w:t>
      </w:r>
      <w:r>
        <w:t>ProRate PLUS gravimetrik besleme hattı, ekonomik bir çözümdür</w:t>
      </w:r>
      <w:r w:rsidR="000827E6">
        <w:t>.</w:t>
      </w:r>
      <w:r>
        <w:t xml:space="preserve"> </w:t>
      </w:r>
      <w:r w:rsidR="000827E6">
        <w:t>İ</w:t>
      </w:r>
      <w:r>
        <w:t xml:space="preserve">yi fiyat-performans </w:t>
      </w:r>
      <w:r w:rsidR="000827E6">
        <w:t>etkisi</w:t>
      </w:r>
      <w:r>
        <w:t xml:space="preserve"> ve hızlı teslimat süreleri ile </w:t>
      </w:r>
      <w:r w:rsidR="000827E6">
        <w:t>iyi</w:t>
      </w:r>
      <w:r>
        <w:t xml:space="preserve"> bir yatırım getirisi sunmaktadır. Plastik işleme endüstrisinin özel gereklilikleri düşünülerek tasarlanmıştır. Bu tek vidalı besleyiciler pel</w:t>
      </w:r>
      <w:r w:rsidR="000827E6">
        <w:t>l</w:t>
      </w:r>
      <w:r>
        <w:t>etler, granüller ve ikinci</w:t>
      </w:r>
      <w:r w:rsidR="000827E6">
        <w:t xml:space="preserve"> kalite</w:t>
      </w:r>
      <w:r>
        <w:t xml:space="preserve"> plastik uygulamalarındaki diğer serbest akışlı </w:t>
      </w:r>
      <w:r w:rsidR="000827E6">
        <w:t>katı</w:t>
      </w:r>
      <w:r>
        <w:t xml:space="preserve"> malzemelerin beslenmesi için idealdir. ProRate PLUS besleyiciler</w:t>
      </w:r>
      <w:r w:rsidR="004C09DF">
        <w:t>i</w:t>
      </w:r>
      <w:r w:rsidR="003B695E">
        <w:t>n</w:t>
      </w:r>
      <w:r>
        <w:t xml:space="preserve"> üç </w:t>
      </w:r>
      <w:r w:rsidR="004C09DF">
        <w:t>farklı modeli</w:t>
      </w:r>
      <w:r>
        <w:t xml:space="preserve"> mevcuttur ve  formül</w:t>
      </w:r>
      <w:r w:rsidR="003B695E">
        <w:t xml:space="preserve"> reçetesine</w:t>
      </w:r>
      <w:r>
        <w:t xml:space="preserve"> bağlı olarak tek ünite olarak </w:t>
      </w:r>
      <w:r w:rsidR="003B695E">
        <w:t>kullanılabildiği gibi tek bir gi</w:t>
      </w:r>
      <w:r>
        <w:t xml:space="preserve">riş </w:t>
      </w:r>
      <w:r w:rsidR="003B695E">
        <w:t>merkezinde</w:t>
      </w:r>
      <w:r>
        <w:t xml:space="preserve"> altı</w:t>
      </w:r>
      <w:r w:rsidR="003B695E">
        <w:t xml:space="preserve"> besleyiciye</w:t>
      </w:r>
      <w:r w:rsidR="00F14CD9">
        <w:t xml:space="preserve"> kadar</w:t>
      </w:r>
      <w:r w:rsidR="003B695E">
        <w:t xml:space="preserve"> grup</w:t>
      </w:r>
      <w:r>
        <w:t xml:space="preserve"> </w:t>
      </w:r>
      <w:r w:rsidR="003B695E">
        <w:t xml:space="preserve">olarak ta </w:t>
      </w:r>
      <w:r w:rsidR="00F14CD9">
        <w:t xml:space="preserve">kolaylıkla </w:t>
      </w:r>
      <w:r w:rsidR="003B695E">
        <w:t>düzen</w:t>
      </w:r>
      <w:r w:rsidR="00F14CD9">
        <w:t>lenebilir ve kullanılabilir.</w:t>
      </w:r>
      <w:r>
        <w:t xml:space="preserve"> </w:t>
      </w:r>
    </w:p>
    <w:p w14:paraId="65B73C11" w14:textId="6914BF78" w:rsidR="00582B7F" w:rsidRDefault="00582B7F" w:rsidP="00582B7F">
      <w:pPr>
        <w:suppressAutoHyphens/>
        <w:spacing w:after="240" w:line="360" w:lineRule="auto"/>
        <w:rPr>
          <w:rFonts w:cs="Arial"/>
          <w:szCs w:val="22"/>
        </w:rPr>
      </w:pPr>
      <w:r>
        <w:t xml:space="preserve">ProRate PLUS besleme hattı, çok kompakt ve yerden kazandıran bir düzene izin veren benzersiz tasarıma sahiptir. ProRate Plus besleyicilerin </w:t>
      </w:r>
      <w:r w:rsidR="00F14CD9">
        <w:t>özel şase tasarımı</w:t>
      </w:r>
      <w:r>
        <w:t>, altıya kadar besleyicinin 1,5 metre [5 ft] yarıçap dahilinde ekstr</w:t>
      </w:r>
      <w:r w:rsidR="006307F7">
        <w:t>u</w:t>
      </w:r>
      <w:r>
        <w:t>der</w:t>
      </w:r>
      <w:r w:rsidR="00F14CD9">
        <w:t xml:space="preserve"> (veya farklı bir proses makinesi)</w:t>
      </w:r>
      <w:r>
        <w:t xml:space="preserve"> girişi etrafında kolayca gruplandırılmasına izin verir. Üç besleyici modeli PLUS-S, PLUS-M ve PLUS-L geniş </w:t>
      </w:r>
      <w:r w:rsidR="006307F7">
        <w:t>aralıklı kapasite ihtiyacını</w:t>
      </w:r>
      <w:r>
        <w:t xml:space="preserve"> ka</w:t>
      </w:r>
      <w:r w:rsidR="006307F7">
        <w:t>rşılar</w:t>
      </w:r>
      <w:r>
        <w:t>. ProRate PLUS besleyiciler, malzemeye bağlı olarak 3,3 ila 4800 dm</w:t>
      </w:r>
      <w:r>
        <w:rPr>
          <w:vertAlign w:val="superscript"/>
        </w:rPr>
        <w:t>3</w:t>
      </w:r>
      <w:r>
        <w:t>/</w:t>
      </w:r>
      <w:r w:rsidR="00CF7C57">
        <w:t>h</w:t>
      </w:r>
      <w:r>
        <w:t xml:space="preserve"> [0,12 ila 400 ft</w:t>
      </w:r>
      <w:r>
        <w:rPr>
          <w:vertAlign w:val="superscript"/>
        </w:rPr>
        <w:t>3</w:t>
      </w:r>
      <w:r>
        <w:t>/</w:t>
      </w:r>
      <w:r w:rsidR="00CF7C57">
        <w:t>h</w:t>
      </w:r>
      <w:r>
        <w:t xml:space="preserve">] arasında </w:t>
      </w:r>
      <w:r w:rsidR="00CF7C57">
        <w:t>kapasite taleplerini rahatlıkla karşılar</w:t>
      </w:r>
      <w:r>
        <w:t xml:space="preserve">. Teorik </w:t>
      </w:r>
      <w:r>
        <w:lastRenderedPageBreak/>
        <w:t>olarak altı ProRate PLUS-L besleyici içeren bir besleme sistemi, yalnızca 7 m</w:t>
      </w:r>
      <w:r>
        <w:rPr>
          <w:vertAlign w:val="superscript"/>
        </w:rPr>
        <w:t>2</w:t>
      </w:r>
      <w:r>
        <w:t>’lik [75 ft</w:t>
      </w:r>
      <w:r>
        <w:rPr>
          <w:vertAlign w:val="superscript"/>
        </w:rPr>
        <w:t>2</w:t>
      </w:r>
      <w:r>
        <w:t>] kaplama alanında 28,8 m</w:t>
      </w:r>
      <w:r>
        <w:rPr>
          <w:vertAlign w:val="superscript"/>
        </w:rPr>
        <w:t>3</w:t>
      </w:r>
      <w:r>
        <w:t>/</w:t>
      </w:r>
      <w:r w:rsidR="00CF7C57">
        <w:t>h</w:t>
      </w:r>
      <w:r>
        <w:t>’e [1017 ft</w:t>
      </w:r>
      <w:r>
        <w:rPr>
          <w:vertAlign w:val="superscript"/>
        </w:rPr>
        <w:t>3</w:t>
      </w:r>
      <w:r>
        <w:t>/s] kadar besleme yapabilir.</w:t>
      </w:r>
    </w:p>
    <w:p w14:paraId="41884BA4" w14:textId="1628BFEC" w:rsidR="00582B7F" w:rsidRDefault="00582B7F" w:rsidP="00582B7F">
      <w:pPr>
        <w:suppressAutoHyphens/>
        <w:spacing w:line="360" w:lineRule="auto"/>
        <w:rPr>
          <w:rFonts w:cs="Arial"/>
          <w:szCs w:val="22"/>
        </w:rPr>
      </w:pPr>
      <w:r>
        <w:t xml:space="preserve">ProRate besleyiciler </w:t>
      </w:r>
      <w:r w:rsidR="004534A8">
        <w:t xml:space="preserve">en </w:t>
      </w:r>
      <w:r>
        <w:t>yüksek d</w:t>
      </w:r>
      <w:r w:rsidR="004534A8">
        <w:t>üzeyde standardize edilmiş olup,</w:t>
      </w:r>
      <w:r>
        <w:t xml:space="preserve"> performans ve kullanım kolaylığını optimize etmek için çeşitl</w:t>
      </w:r>
      <w:r w:rsidR="004534A8">
        <w:t>endirilebilir</w:t>
      </w:r>
      <w:r>
        <w:t xml:space="preserve"> tasarım özellikleri içerir. “ProClean Rail” adlı patent bekleyen ray sistemi sayesinde </w:t>
      </w:r>
      <w:r w:rsidR="004534A8">
        <w:t>grup</w:t>
      </w:r>
      <w:r>
        <w:t xml:space="preserve"> iç</w:t>
      </w:r>
      <w:r w:rsidR="004534A8">
        <w:t>erisind</w:t>
      </w:r>
      <w:r>
        <w:t xml:space="preserve">e dahi </w:t>
      </w:r>
      <w:r w:rsidR="004534A8">
        <w:t xml:space="preserve">her bir üniteye </w:t>
      </w:r>
      <w:r>
        <w:t xml:space="preserve">temizlik ve bakım için kolay erişim sağlanır. </w:t>
      </w:r>
      <w:r w:rsidR="004534A8">
        <w:t>‘’</w:t>
      </w:r>
      <w:r>
        <w:t>ProClean Rail</w:t>
      </w:r>
      <w:r w:rsidR="004534A8">
        <w:t>’’</w:t>
      </w:r>
      <w:r>
        <w:t xml:space="preserve">, </w:t>
      </w:r>
      <w:r w:rsidR="00E234C2">
        <w:t>ana</w:t>
      </w:r>
      <w:r>
        <w:t xml:space="preserve"> üniteyi besleyicinin arkasına geri çekmeyi ve besleme bölümü ve vida elemanına erişmek için döndürmeyi mümkün kılar. Bu</w:t>
      </w:r>
      <w:r w:rsidR="00E234C2">
        <w:t>da</w:t>
      </w:r>
      <w:r>
        <w:t xml:space="preserve"> besleyicinin konumunu değiştirmeden besleme ünitesinin bakım ve temizliğine izin verir. </w:t>
      </w:r>
      <w:r w:rsidR="0028384F">
        <w:t>İlave olarak</w:t>
      </w:r>
      <w:r>
        <w:t xml:space="preserve"> körükler ve vida, basit fakat sağlam montaj içi</w:t>
      </w:r>
      <w:r w:rsidR="0028384F">
        <w:t>n</w:t>
      </w:r>
      <w:r>
        <w:t xml:space="preserve"> yeni </w:t>
      </w:r>
      <w:r w:rsidR="0028384F">
        <w:t xml:space="preserve">geliştirilmiş </w:t>
      </w:r>
      <w:r>
        <w:t xml:space="preserve">mıknatıs teknolojisini kullanır. Mıknatıs bağlantıları bu parçaların aletsiz çıkarılmasını sağlarken, aynı zamanda optimum ve güvenli kullanım için gerekli tutma kuvvetini sağlar. Besleyicilerin yüksek seviye standardizasyonu sayesinde, acil stok için gerekli yedek parça sayısı çok azdır. Çoğu parça üç model için </w:t>
      </w:r>
      <w:r w:rsidR="0028384F">
        <w:t xml:space="preserve">de </w:t>
      </w:r>
      <w:r>
        <w:t>aynıdır ve tüm cihazlar için birbirlerinin yerine kullanılabilir.</w:t>
      </w:r>
    </w:p>
    <w:p w14:paraId="24CAA8E6" w14:textId="77777777" w:rsidR="00582B7F" w:rsidRPr="00586D79" w:rsidRDefault="00582B7F" w:rsidP="00582B7F">
      <w:pPr>
        <w:suppressAutoHyphens/>
        <w:spacing w:line="360" w:lineRule="auto"/>
        <w:rPr>
          <w:rFonts w:cs="Arial"/>
          <w:szCs w:val="22"/>
          <w:lang w:eastAsia="ar-SA"/>
        </w:rPr>
      </w:pPr>
    </w:p>
    <w:p w14:paraId="0DBE3CA0" w14:textId="7D60E72B" w:rsidR="00582B7F" w:rsidRDefault="00582B7F" w:rsidP="00582B7F">
      <w:pPr>
        <w:suppressAutoHyphens/>
        <w:spacing w:line="360" w:lineRule="auto"/>
        <w:rPr>
          <w:rFonts w:cs="Arial"/>
          <w:szCs w:val="22"/>
        </w:rPr>
      </w:pPr>
      <w:r>
        <w:t>ProRate PLUS besleyiciler, NEC Sınıf II, Böl. 2, Grup F &amp; G ve ATEX 3D/3D (dış/iç) olarak sınıflandırılan tehlikeli bölgelerde kullanıma uygundur.</w:t>
      </w:r>
      <w:r w:rsidR="0028384F">
        <w:t xml:space="preserve"> Bu özellik tüm modellerde standarttır.</w:t>
      </w:r>
    </w:p>
    <w:p w14:paraId="56287B06" w14:textId="01476B8F" w:rsidR="00582B7F" w:rsidRPr="00586D79" w:rsidRDefault="00582B7F" w:rsidP="00582B7F">
      <w:pPr>
        <w:suppressAutoHyphens/>
        <w:spacing w:line="360" w:lineRule="auto"/>
        <w:rPr>
          <w:rFonts w:cs="Arial"/>
          <w:szCs w:val="22"/>
          <w:lang w:eastAsia="ar-SA"/>
        </w:rPr>
      </w:pPr>
    </w:p>
    <w:p w14:paraId="2BF6096B" w14:textId="1B42BF95" w:rsidR="006F68AA" w:rsidRPr="003A0511" w:rsidRDefault="006F68AA" w:rsidP="00582B7F">
      <w:pPr>
        <w:suppressAutoHyphens/>
        <w:spacing w:line="360" w:lineRule="auto"/>
        <w:rPr>
          <w:rFonts w:cs="Arial"/>
          <w:b/>
          <w:bCs/>
          <w:szCs w:val="22"/>
        </w:rPr>
      </w:pPr>
      <w:r>
        <w:rPr>
          <w:b/>
        </w:rPr>
        <w:t xml:space="preserve">Verimli </w:t>
      </w:r>
      <w:r w:rsidR="006901DF">
        <w:rPr>
          <w:b/>
        </w:rPr>
        <w:t>çalışma</w:t>
      </w:r>
      <w:r>
        <w:rPr>
          <w:b/>
        </w:rPr>
        <w:t xml:space="preserve"> için doğru ağırlık ölçümü ve güvenilir kontrol modülleri</w:t>
      </w:r>
    </w:p>
    <w:p w14:paraId="6A047828" w14:textId="7BD515E5" w:rsidR="00582B7F" w:rsidRDefault="00582B7F" w:rsidP="00582B7F">
      <w:pPr>
        <w:suppressAutoHyphens/>
        <w:spacing w:line="360" w:lineRule="auto"/>
        <w:rPr>
          <w:rFonts w:cs="Arial"/>
          <w:szCs w:val="22"/>
        </w:rPr>
      </w:pPr>
      <w:r>
        <w:t xml:space="preserve">Tüm ProRate PLUS besleyicilerde, güvenilir Smart Force Transducer tartım teknolojisi içeren P-SFT yük hücreleri bulunur. </w:t>
      </w:r>
      <w:r w:rsidR="006901DF">
        <w:t xml:space="preserve">Baskı </w:t>
      </w:r>
      <w:r>
        <w:t xml:space="preserve">altında </w:t>
      </w:r>
      <w:r w:rsidR="006901DF">
        <w:t xml:space="preserve">rahatlıkla </w:t>
      </w:r>
      <w:r>
        <w:t xml:space="preserve">çalışır ve çok çeşitli çalışma koşullarında doğru, stabil ve güvenilir dijital ağırlık ölçümü sağlar. Yük hücreleri doğrudan dijital tartım sinyali sağlar ve yerleşik mikrokontrolör mükemmel tekrarlanabilirlik ve stabiliteyi garantiler. P-SFT yük hücreleri, titreşim ve elektriksel gürültüye yüksek toleranslıdır. Yerleşik </w:t>
      </w:r>
      <w:r w:rsidR="006E57D3">
        <w:t>yüksek</w:t>
      </w:r>
      <w:r>
        <w:t xml:space="preserve"> ve </w:t>
      </w:r>
      <w:r w:rsidR="006E57D3">
        <w:t>alçak</w:t>
      </w:r>
      <w:r>
        <w:t xml:space="preserve"> yük koruması içerir.</w:t>
      </w:r>
    </w:p>
    <w:p w14:paraId="488294B6" w14:textId="77777777" w:rsidR="00582B7F" w:rsidRPr="00586D79" w:rsidRDefault="00582B7F" w:rsidP="00582B7F">
      <w:pPr>
        <w:suppressAutoHyphens/>
        <w:spacing w:line="360" w:lineRule="auto"/>
        <w:rPr>
          <w:rFonts w:cs="Arial"/>
          <w:szCs w:val="22"/>
          <w:lang w:eastAsia="ar-SA"/>
        </w:rPr>
      </w:pPr>
    </w:p>
    <w:p w14:paraId="548FDF76" w14:textId="4A0BD6AD" w:rsidR="00582B7F" w:rsidRDefault="00582B7F" w:rsidP="00582B7F">
      <w:pPr>
        <w:suppressAutoHyphens/>
        <w:spacing w:line="360" w:lineRule="auto"/>
        <w:rPr>
          <w:rFonts w:cs="Arial"/>
          <w:szCs w:val="22"/>
        </w:rPr>
      </w:pPr>
      <w:r>
        <w:t xml:space="preserve">Her besleyici </w:t>
      </w:r>
      <w:r w:rsidR="00ED056B">
        <w:t>üzerinde tüm bağlantıları yapılmış</w:t>
      </w:r>
      <w:r>
        <w:t xml:space="preserve"> ProRate PLUS PCM kontrol modülüyle birlikte gelir. PCM, ayarlanabilir yükseklik konumlandırma ile besleyici</w:t>
      </w:r>
      <w:r w:rsidR="00ED056B">
        <w:t>nin şasesine</w:t>
      </w:r>
      <w:r>
        <w:t xml:space="preserve"> monte edilir. Her PCM, </w:t>
      </w:r>
      <w:r w:rsidR="00ED056B">
        <w:t xml:space="preserve">sevkiyat </w:t>
      </w:r>
      <w:r>
        <w:t>önce</w:t>
      </w:r>
      <w:r w:rsidR="00ED056B">
        <w:t>si</w:t>
      </w:r>
      <w:r>
        <w:t xml:space="preserve"> Coperion K-Tron üretim tesisinde ön teste tabi tutulur. Seçilebilecek iki PCM modeli vardır: basit motor kontrol ünitesi (PCM-MD) veya entegre kullanıcı arabirimi ve hat kontrol işlevi içeren gelişmiş sürüm (PCM-KD). Sekiz</w:t>
      </w:r>
      <w:r w:rsidR="009814E7">
        <w:t xml:space="preserve"> </w:t>
      </w:r>
      <w:r>
        <w:t>besleyiciden oluşan bir grupta, bir besleyici PCM-KD içermelidir ve diğerleri için ise PCM-MD yeterlidir.</w:t>
      </w:r>
    </w:p>
    <w:p w14:paraId="2E7C8770" w14:textId="77777777" w:rsidR="00582B7F" w:rsidRPr="00586D79" w:rsidRDefault="00582B7F" w:rsidP="00582B7F">
      <w:pPr>
        <w:suppressAutoHyphens/>
        <w:spacing w:line="360" w:lineRule="auto"/>
        <w:rPr>
          <w:rFonts w:cs="Arial"/>
          <w:szCs w:val="22"/>
          <w:lang w:eastAsia="ar-SA"/>
        </w:rPr>
      </w:pPr>
    </w:p>
    <w:p w14:paraId="7A6497CB" w14:textId="43378B81" w:rsidR="00582B7F" w:rsidRDefault="00582B7F" w:rsidP="003A0511">
      <w:pPr>
        <w:suppressAutoHyphens/>
        <w:spacing w:after="240" w:line="360" w:lineRule="auto"/>
        <w:rPr>
          <w:rFonts w:cs="Arial"/>
          <w:szCs w:val="22"/>
        </w:rPr>
      </w:pPr>
      <w:r>
        <w:t>PCM-KD, ProRate PLUS besleyici</w:t>
      </w:r>
      <w:r w:rsidR="004E3EAE">
        <w:t>leri</w:t>
      </w:r>
      <w:r>
        <w:t xml:space="preserve">nin </w:t>
      </w:r>
      <w:r w:rsidR="004E3EAE">
        <w:t>daimi</w:t>
      </w:r>
      <w:r>
        <w:t xml:space="preserve"> uygulamalar için ihtiyacı olacak tüm yazılımla birlikte gelir ve üç </w:t>
      </w:r>
      <w:r w:rsidR="004E3EAE">
        <w:t xml:space="preserve">farklı </w:t>
      </w:r>
      <w:r>
        <w:t>besleyici modelini de destekler. Tartım besleyicileri, operatör arabirimi ve akıllı I/O arasındaki bağlantı, endüstriyel bir ağ üzerinden sağlanır. Tüm motor düzeneği, teşhisler ve operatör arabirimi işlevleri PCM-KD kullanıcı arabiriminde tümleştirilmiştir. PCM-KD bir ana bilgisayar bağlantı noktası içerir (Ethernet IP veya Profinet).</w:t>
      </w:r>
    </w:p>
    <w:p w14:paraId="25EAED9F" w14:textId="3BB94F1D" w:rsidR="003A0511" w:rsidRDefault="00E306A5" w:rsidP="00291EF9">
      <w:pPr>
        <w:suppressAutoHyphens/>
        <w:spacing w:after="240" w:line="360" w:lineRule="auto"/>
        <w:rPr>
          <w:rFonts w:cs="Arial"/>
          <w:b/>
          <w:bCs/>
          <w:szCs w:val="22"/>
        </w:rPr>
      </w:pPr>
      <w:r>
        <w:rPr>
          <w:b/>
        </w:rPr>
        <w:t>Prosesin</w:t>
      </w:r>
      <w:r w:rsidR="006F68AA">
        <w:rPr>
          <w:b/>
        </w:rPr>
        <w:t xml:space="preserve"> sorunsuz devam etmesi için çeşitli hizmet teklifleri  </w:t>
      </w:r>
      <w:bookmarkStart w:id="1" w:name="_Hlk92380623"/>
    </w:p>
    <w:p w14:paraId="2ACDC151" w14:textId="203700F7" w:rsidR="00291EF9" w:rsidRDefault="00291EF9" w:rsidP="00291EF9">
      <w:pPr>
        <w:suppressAutoHyphens/>
        <w:spacing w:after="240" w:line="360" w:lineRule="auto"/>
        <w:rPr>
          <w:rFonts w:cs="Arial"/>
          <w:szCs w:val="22"/>
        </w:rPr>
      </w:pPr>
      <w:r>
        <w:t xml:space="preserve">Coperion K-Tron’un müşteri memnuniyetine olan bağlılığı, bu ürün hattının piyasaya sürülmesi için hizmet tekliflerinden oluşan benzersiz yeni bir portföyün oluşturulmasına yol açmıştır. Her müşterinin ihtiyaç duyduğu hizmet düzeyini tam olarak sağlamak için, ProRate PLUS besleyicilere yönelik çeşitli Başlangıç ve Hizmet paketleri mevcuttur. Coperion K-Tron, ProRate PLUS için hızlı ve kolay uzaktan hizmetler de sunmaktadır. Çevrimiçi portaldan 24 saatlik telefon desteği ve hatta uzaktan çalıştırma desteğine kadar, tüm dünyada sistemlerin </w:t>
      </w:r>
      <w:r w:rsidR="00B8770C">
        <w:t xml:space="preserve">sorunsuz </w:t>
      </w:r>
      <w:r>
        <w:t xml:space="preserve">çalışmasını sağlamak için eğitimli </w:t>
      </w:r>
      <w:r w:rsidR="005B3B93">
        <w:t>servis</w:t>
      </w:r>
      <w:r>
        <w:t xml:space="preserve"> teknisyenleri </w:t>
      </w:r>
      <w:r w:rsidR="00B8770C">
        <w:t>mevcuttur</w:t>
      </w:r>
      <w:r>
        <w:t>.</w:t>
      </w:r>
    </w:p>
    <w:bookmarkEnd w:id="1"/>
    <w:p w14:paraId="00204B39" w14:textId="77777777" w:rsidR="00582B7F" w:rsidRDefault="00582B7F" w:rsidP="00582B7F">
      <w:pPr>
        <w:suppressAutoHyphens/>
        <w:spacing w:line="360" w:lineRule="auto"/>
        <w:rPr>
          <w:rFonts w:cs="Arial"/>
          <w:szCs w:val="22"/>
        </w:rPr>
      </w:pPr>
      <w:r>
        <w:t>Yepyeni ProRate PLUS besleme hattı, plastik işleme uygulamalarında serbest akışlı yığın malzemelerini beslemek için kolay, sağlam ve güvenilir bir çözüm sunmaktadır.</w:t>
      </w:r>
    </w:p>
    <w:p w14:paraId="438ECD49" w14:textId="77777777" w:rsidR="0077467F" w:rsidRPr="00586D79" w:rsidRDefault="0077467F" w:rsidP="00E6196B">
      <w:pPr>
        <w:spacing w:line="360" w:lineRule="auto"/>
        <w:rPr>
          <w:rFonts w:cs="Arial"/>
          <w:szCs w:val="22"/>
          <w:lang w:eastAsia="ar-SA"/>
        </w:rPr>
      </w:pPr>
    </w:p>
    <w:p w14:paraId="278AD998" w14:textId="77777777" w:rsidR="00AF3253" w:rsidRPr="00586D79" w:rsidRDefault="00AF3253" w:rsidP="00AF3253">
      <w:pPr>
        <w:spacing w:line="360" w:lineRule="auto"/>
        <w:rPr>
          <w:rFonts w:cs="Arial"/>
          <w:i/>
          <w:szCs w:val="22"/>
          <w:lang w:eastAsia="ar-SA"/>
        </w:rPr>
      </w:pPr>
    </w:p>
    <w:p w14:paraId="1824EBA9" w14:textId="4231B8A9" w:rsidR="00097B71" w:rsidRDefault="00097B71" w:rsidP="00097B71">
      <w:pPr>
        <w:rPr>
          <w:rFonts w:cs="Arial"/>
          <w:sz w:val="20"/>
        </w:rPr>
      </w:pPr>
      <w:r>
        <w:rPr>
          <w:sz w:val="20"/>
        </w:rPr>
        <w:t>Coperion,</w:t>
      </w:r>
      <w:r w:rsidR="005B3B93">
        <w:rPr>
          <w:sz w:val="20"/>
        </w:rPr>
        <w:t xml:space="preserve"> compound</w:t>
      </w:r>
      <w:r>
        <w:rPr>
          <w:sz w:val="20"/>
        </w:rPr>
        <w:t xml:space="preserve"> ve ekstrüzyon sistemleri, besleme ve tartım teknolojisi, yığın malzeme </w:t>
      </w:r>
      <w:r w:rsidR="002868AC">
        <w:rPr>
          <w:sz w:val="20"/>
        </w:rPr>
        <w:t>yönetme</w:t>
      </w:r>
      <w:r>
        <w:rPr>
          <w:sz w:val="20"/>
        </w:rPr>
        <w:t xml:space="preserve"> sistemleri ve </w:t>
      </w:r>
      <w:r w:rsidR="002868AC">
        <w:rPr>
          <w:sz w:val="20"/>
        </w:rPr>
        <w:t xml:space="preserve">servis </w:t>
      </w:r>
      <w:r>
        <w:rPr>
          <w:sz w:val="20"/>
        </w:rPr>
        <w:t>hizmetlerinde uluslararası piyasa</w:t>
      </w:r>
      <w:r w:rsidR="005B3B93">
        <w:rPr>
          <w:sz w:val="20"/>
        </w:rPr>
        <w:t>da</w:t>
      </w:r>
      <w:r>
        <w:rPr>
          <w:sz w:val="20"/>
        </w:rPr>
        <w:t xml:space="preserve"> teknoloji lideridir. Coperion, plastik, kimyasal, farmasötik, gıda ve mineral endüstrileri için sistemler, makineler ve bileşenler tasarlar, geliştirir, üretir ve bakımını sağlar. Polimer ve Stratejik Piyasalar / Pazarlama Sonrası Satış ve Hizmetler olmak üzere iki departmanı dahilinde Coperion, tüm dünyada 2500 çalışana ve yaklaşık 30 satış ve </w:t>
      </w:r>
      <w:r w:rsidR="002868AC">
        <w:rPr>
          <w:sz w:val="20"/>
        </w:rPr>
        <w:t>servis</w:t>
      </w:r>
      <w:r>
        <w:rPr>
          <w:sz w:val="20"/>
        </w:rPr>
        <w:t xml:space="preserve"> hizmeti</w:t>
      </w:r>
      <w:r w:rsidR="002868AC">
        <w:rPr>
          <w:sz w:val="20"/>
        </w:rPr>
        <w:t xml:space="preserve"> sunan ofislere</w:t>
      </w:r>
      <w:r>
        <w:rPr>
          <w:sz w:val="20"/>
        </w:rPr>
        <w:t xml:space="preserve"> sahiptir. Coperion K-Tron, bir Coperion markasıdır. Daha fazla bilgi için </w:t>
      </w:r>
      <w:hyperlink r:id="rId8" w:history="1">
        <w:r>
          <w:rPr>
            <w:rStyle w:val="Hyperlink"/>
            <w:sz w:val="20"/>
          </w:rPr>
          <w:t>www.coperion.com</w:t>
        </w:r>
      </w:hyperlink>
      <w:r>
        <w:rPr>
          <w:sz w:val="20"/>
        </w:rPr>
        <w:t xml:space="preserve"> adresini ziyaret edin veya </w:t>
      </w:r>
      <w:hyperlink r:id="rId9" w:history="1">
        <w:r>
          <w:rPr>
            <w:rStyle w:val="Hyperlink"/>
            <w:sz w:val="20"/>
          </w:rPr>
          <w:t>info@coperion.com</w:t>
        </w:r>
      </w:hyperlink>
      <w:r>
        <w:rPr>
          <w:sz w:val="20"/>
        </w:rPr>
        <w:t xml:space="preserve"> adresine e-posta gönderin. </w:t>
      </w:r>
    </w:p>
    <w:p w14:paraId="795DBD19" w14:textId="4C52FEA1" w:rsidR="000E7F48" w:rsidRPr="00582B7F" w:rsidRDefault="000E7F48" w:rsidP="00AF3253">
      <w:pPr>
        <w:pStyle w:val="Trennung"/>
        <w:spacing w:before="480" w:after="480"/>
        <w:rPr>
          <w:color w:val="auto"/>
        </w:rPr>
      </w:pPr>
      <w:r>
        <w:rPr>
          <w:rFonts w:ascii="Arial Unicode MS" w:hAnsi="Arial Unicode MS"/>
          <w:color w:val="auto"/>
        </w:rPr>
        <w:t>⌘⌘⌘</w:t>
      </w:r>
    </w:p>
    <w:p w14:paraId="06ABB16A" w14:textId="531FC747" w:rsidR="00AF3253" w:rsidRDefault="00AF3253" w:rsidP="00CD157C">
      <w:pPr>
        <w:pStyle w:val="Konsens"/>
        <w:spacing w:before="120" w:line="360" w:lineRule="auto"/>
        <w:ind w:left="0"/>
        <w:rPr>
          <w:i/>
          <w:szCs w:val="22"/>
          <w:lang w:val="de-CH"/>
        </w:rPr>
      </w:pPr>
    </w:p>
    <w:p w14:paraId="052CE209" w14:textId="77777777" w:rsidR="00097B71" w:rsidRPr="00097B71" w:rsidRDefault="00097B71" w:rsidP="00CD157C">
      <w:pPr>
        <w:pStyle w:val="Konsens"/>
        <w:spacing w:before="120" w:line="360" w:lineRule="auto"/>
        <w:ind w:left="0"/>
        <w:rPr>
          <w:i/>
          <w:szCs w:val="22"/>
          <w:lang w:val="de-CH"/>
        </w:rPr>
      </w:pPr>
    </w:p>
    <w:p w14:paraId="790525CA" w14:textId="77777777" w:rsidR="003A0511" w:rsidRDefault="003A0511" w:rsidP="00CD157C">
      <w:pPr>
        <w:pStyle w:val="Konsens"/>
        <w:spacing w:before="120" w:line="360" w:lineRule="auto"/>
        <w:ind w:left="0"/>
        <w:rPr>
          <w:i/>
          <w:szCs w:val="22"/>
        </w:rPr>
      </w:pPr>
      <w:r>
        <w:rPr>
          <w:noProof/>
        </w:rPr>
        <w:lastRenderedPageBreak/>
        <w:drawing>
          <wp:inline distT="0" distB="0" distL="0" distR="0" wp14:anchorId="09100F0D" wp14:editId="4FB12A58">
            <wp:extent cx="3619500" cy="27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1014" cy="2729154"/>
                    </a:xfrm>
                    <a:prstGeom prst="rect">
                      <a:avLst/>
                    </a:prstGeom>
                    <a:noFill/>
                    <a:ln>
                      <a:noFill/>
                    </a:ln>
                  </pic:spPr>
                </pic:pic>
              </a:graphicData>
            </a:graphic>
          </wp:inline>
        </w:drawing>
      </w:r>
    </w:p>
    <w:p w14:paraId="264BF9B0" w14:textId="5E44455A" w:rsidR="00CD157C" w:rsidRPr="003A0511" w:rsidRDefault="003A0511" w:rsidP="00CD157C">
      <w:pPr>
        <w:pStyle w:val="Konsens"/>
        <w:spacing w:before="120" w:line="360" w:lineRule="auto"/>
        <w:ind w:left="0"/>
        <w:rPr>
          <w:i/>
          <w:szCs w:val="22"/>
        </w:rPr>
      </w:pPr>
      <w:r>
        <w:rPr>
          <w:i/>
        </w:rPr>
        <w:t>ProRate PLUS tek vidalı sürekli gravimetrik besleyiciler, peletler, granüller ve ikincil plastik uygulamalarındaki diğer serbest akışlı yoğun malzemelerin beslenmesi için idealdir.</w:t>
      </w:r>
    </w:p>
    <w:p w14:paraId="57785445" w14:textId="731A7BB9" w:rsidR="00AF3253" w:rsidRDefault="00E24445" w:rsidP="00E24445">
      <w:pPr>
        <w:pStyle w:val="Konsens"/>
        <w:spacing w:before="120"/>
        <w:ind w:left="0"/>
        <w:rPr>
          <w:i/>
          <w:szCs w:val="22"/>
        </w:rPr>
      </w:pPr>
      <w:r>
        <w:rPr>
          <w:i/>
        </w:rPr>
        <w:t>Görüntü: Coperion K-Tron, Niederlenz, İsviçre</w:t>
      </w:r>
    </w:p>
    <w:p w14:paraId="5A0961BD" w14:textId="77777777" w:rsidR="009F3DB6" w:rsidRPr="006431DC" w:rsidRDefault="009F3DB6" w:rsidP="00E24445">
      <w:pPr>
        <w:pStyle w:val="Konsens"/>
        <w:spacing w:before="120"/>
        <w:ind w:left="0"/>
        <w:rPr>
          <w:i/>
          <w:szCs w:val="22"/>
        </w:rPr>
      </w:pPr>
    </w:p>
    <w:p w14:paraId="51A36C88" w14:textId="1903DBAD" w:rsidR="00190BDE" w:rsidRPr="006431DC" w:rsidRDefault="003A0511" w:rsidP="005A3603">
      <w:pPr>
        <w:pStyle w:val="Konsens"/>
        <w:spacing w:before="120"/>
        <w:ind w:left="0"/>
        <w:rPr>
          <w:i/>
          <w:szCs w:val="22"/>
        </w:rPr>
      </w:pPr>
      <w:r>
        <w:rPr>
          <w:i/>
          <w:noProof/>
        </w:rPr>
        <w:drawing>
          <wp:inline distT="0" distB="0" distL="0" distR="0" wp14:anchorId="440F4610" wp14:editId="0FC98DAE">
            <wp:extent cx="3667125" cy="2748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2666" cy="2760376"/>
                    </a:xfrm>
                    <a:prstGeom prst="rect">
                      <a:avLst/>
                    </a:prstGeom>
                    <a:noFill/>
                    <a:ln>
                      <a:noFill/>
                    </a:ln>
                  </pic:spPr>
                </pic:pic>
              </a:graphicData>
            </a:graphic>
          </wp:inline>
        </w:drawing>
      </w:r>
    </w:p>
    <w:p w14:paraId="5B6DECB9" w14:textId="4A5E8784" w:rsidR="005A3603" w:rsidRPr="003A0511" w:rsidRDefault="003A0511" w:rsidP="006431DC">
      <w:pPr>
        <w:pStyle w:val="Konsens"/>
        <w:spacing w:before="120" w:line="360" w:lineRule="auto"/>
        <w:ind w:left="0"/>
        <w:rPr>
          <w:i/>
          <w:szCs w:val="22"/>
        </w:rPr>
      </w:pPr>
      <w:r>
        <w:rPr>
          <w:i/>
        </w:rPr>
        <w:t>ProRate PLUS besleyiciler tarif formülüne bağlı olarak tek üniteler olarak kurulabilir veya bir işlem girişi çevresinde altıya kadar besleyici içeren bir kümede kolayca düzenlenebilir.</w:t>
      </w:r>
    </w:p>
    <w:p w14:paraId="7F6ACDA1" w14:textId="231F5DBC" w:rsidR="00190BDE" w:rsidRPr="006431DC" w:rsidRDefault="00AF3253" w:rsidP="00AF3253">
      <w:pPr>
        <w:pStyle w:val="Konsens"/>
        <w:spacing w:before="120"/>
        <w:ind w:left="0"/>
        <w:rPr>
          <w:i/>
          <w:szCs w:val="22"/>
        </w:rPr>
      </w:pPr>
      <w:r>
        <w:rPr>
          <w:i/>
        </w:rPr>
        <w:t>Görüntü: Coperion K-Tron, Niederlenz, İsviçre</w:t>
      </w:r>
    </w:p>
    <w:sectPr w:rsidR="00190BDE" w:rsidRPr="006431DC" w:rsidSect="00582CBF">
      <w:headerReference w:type="default" r:id="rId12"/>
      <w:footerReference w:type="default" r:id="rId13"/>
      <w:headerReference w:type="first" r:id="rId14"/>
      <w:footerReference w:type="first" r:id="rId15"/>
      <w:type w:val="continuous"/>
      <w:pgSz w:w="11906" w:h="16838" w:code="9"/>
      <w:pgMar w:top="3055" w:right="1134" w:bottom="1560" w:left="1418" w:header="77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ADDBA" w14:textId="77777777" w:rsidR="00AF1467" w:rsidRDefault="00AF1467">
      <w:r>
        <w:separator/>
      </w:r>
    </w:p>
  </w:endnote>
  <w:endnote w:type="continuationSeparator" w:id="0">
    <w:p w14:paraId="5204B9D9" w14:textId="77777777" w:rsidR="00AF1467" w:rsidRDefault="00AF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794A33A9" w14:textId="77777777">
      <w:trPr>
        <w:cantSplit/>
      </w:trPr>
      <w:tc>
        <w:tcPr>
          <w:tcW w:w="7428" w:type="dxa"/>
          <w:noWrap/>
          <w:vAlign w:val="bottom"/>
        </w:tcPr>
        <w:p w14:paraId="42CB5E63" w14:textId="77777777" w:rsidR="00B87E7F" w:rsidRDefault="00B87E7F">
          <w:pPr>
            <w:pStyle w:val="Footer"/>
            <w:spacing w:line="200" w:lineRule="exact"/>
            <w:rPr>
              <w:rFonts w:cs="Arial"/>
            </w:rPr>
          </w:pPr>
          <w:bookmarkStart w:id="5" w:name="Fuss2"/>
        </w:p>
      </w:tc>
      <w:tc>
        <w:tcPr>
          <w:tcW w:w="1758" w:type="dxa"/>
          <w:noWrap/>
          <w:vAlign w:val="bottom"/>
        </w:tcPr>
        <w:p w14:paraId="0EF0D309" w14:textId="77777777" w:rsidR="00B87E7F" w:rsidRDefault="0082058A" w:rsidP="0082058A">
          <w:pPr>
            <w:pStyle w:val="Footer"/>
            <w:spacing w:line="200" w:lineRule="exact"/>
            <w:jc w:val="right"/>
            <w:rPr>
              <w:rFonts w:cs="Arial"/>
              <w:szCs w:val="14"/>
            </w:rPr>
          </w:pPr>
          <w:bookmarkStart w:id="6" w:name="PageName"/>
          <w:bookmarkEnd w:id="6"/>
          <w:r>
            <w:t xml:space="preserve">Sayfa </w:t>
          </w:r>
          <w:r w:rsidR="00B87E7F">
            <w:rPr>
              <w:rFonts w:cs="Arial"/>
            </w:rPr>
            <w:fldChar w:fldCharType="begin"/>
          </w:r>
          <w:r w:rsidR="00B87E7F">
            <w:rPr>
              <w:rFonts w:cs="Arial"/>
            </w:rPr>
            <w:instrText xml:space="preserve"> PAGE  \* MERGEFORMAT </w:instrText>
          </w:r>
          <w:r w:rsidR="00B87E7F">
            <w:rPr>
              <w:rFonts w:cs="Arial"/>
            </w:rPr>
            <w:fldChar w:fldCharType="separate"/>
          </w:r>
          <w:r w:rsidR="00622924">
            <w:rPr>
              <w:rFonts w:cs="Arial"/>
            </w:rPr>
            <w:t>2</w:t>
          </w:r>
          <w:r w:rsidR="00B87E7F">
            <w:rPr>
              <w:rFonts w:cs="Arial"/>
            </w:rPr>
            <w:fldChar w:fldCharType="end"/>
          </w:r>
          <w:r>
            <w:t xml:space="preserve"> / </w:t>
          </w:r>
          <w:r w:rsidR="00B87E7F">
            <w:rPr>
              <w:rStyle w:val="PageNumber"/>
            </w:rPr>
            <w:fldChar w:fldCharType="begin"/>
          </w:r>
          <w:r w:rsidR="00B87E7F">
            <w:rPr>
              <w:rStyle w:val="PageNumber"/>
            </w:rPr>
            <w:instrText xml:space="preserve"> NUMPAGES </w:instrText>
          </w:r>
          <w:r w:rsidR="00B87E7F">
            <w:rPr>
              <w:rStyle w:val="PageNumber"/>
            </w:rPr>
            <w:fldChar w:fldCharType="separate"/>
          </w:r>
          <w:r w:rsidR="00622924">
            <w:rPr>
              <w:rStyle w:val="PageNumber"/>
            </w:rPr>
            <w:t>3</w:t>
          </w:r>
          <w:r w:rsidR="00B87E7F">
            <w:rPr>
              <w:rStyle w:val="PageNumber"/>
            </w:rPr>
            <w:fldChar w:fldCharType="end"/>
          </w:r>
        </w:p>
      </w:tc>
      <w:tc>
        <w:tcPr>
          <w:tcW w:w="567" w:type="dxa"/>
          <w:vAlign w:val="bottom"/>
        </w:tcPr>
        <w:p w14:paraId="47DCB64B" w14:textId="77777777" w:rsidR="00B87E7F" w:rsidRDefault="00B87E7F">
          <w:pPr>
            <w:pStyle w:val="Footer"/>
            <w:spacing w:line="200" w:lineRule="exact"/>
            <w:rPr>
              <w:rFonts w:cs="Arial"/>
              <w:szCs w:val="14"/>
            </w:rPr>
          </w:pPr>
        </w:p>
      </w:tc>
    </w:tr>
    <w:bookmarkEnd w:id="5"/>
  </w:tbl>
  <w:p w14:paraId="2EACC11F"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2A4D6D3C" w14:textId="77777777">
      <w:tc>
        <w:tcPr>
          <w:tcW w:w="7371" w:type="dxa"/>
          <w:tcMar>
            <w:left w:w="0" w:type="dxa"/>
            <w:right w:w="0" w:type="dxa"/>
          </w:tcMar>
          <w:vAlign w:val="bottom"/>
        </w:tcPr>
        <w:p w14:paraId="49157B3A" w14:textId="77777777" w:rsidR="00B87E7F" w:rsidRDefault="00B87E7F">
          <w:pPr>
            <w:pStyle w:val="Footer"/>
            <w:spacing w:line="200" w:lineRule="exact"/>
            <w:rPr>
              <w:rFonts w:cs="Arial"/>
              <w:szCs w:val="14"/>
            </w:rPr>
          </w:pPr>
          <w:bookmarkStart w:id="7" w:name="GeneralPartnerLinks"/>
          <w:bookmarkStart w:id="8" w:name="Fuss1"/>
          <w:bookmarkEnd w:id="7"/>
        </w:p>
      </w:tc>
      <w:tc>
        <w:tcPr>
          <w:tcW w:w="2835" w:type="dxa"/>
          <w:tcMar>
            <w:left w:w="0" w:type="dxa"/>
            <w:right w:w="0" w:type="dxa"/>
          </w:tcMar>
        </w:tcPr>
        <w:p w14:paraId="58254ED0" w14:textId="77777777" w:rsidR="00B87E7F" w:rsidRDefault="00B87E7F">
          <w:pPr>
            <w:rPr>
              <w:sz w:val="14"/>
            </w:rPr>
          </w:pPr>
          <w:bookmarkStart w:id="9" w:name="GeneralPartnerRechts"/>
          <w:bookmarkEnd w:id="9"/>
        </w:p>
      </w:tc>
    </w:tr>
  </w:tbl>
  <w:p w14:paraId="7764714F" w14:textId="77777777" w:rsidR="00B87E7F" w:rsidRDefault="00B87E7F">
    <w:pPr>
      <w:rPr>
        <w:sz w:val="14"/>
      </w:rPr>
    </w:pPr>
  </w:p>
  <w:bookmarkEnd w:i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38AA7" w14:textId="77777777" w:rsidR="00AF1467" w:rsidRDefault="00AF1467">
      <w:r>
        <w:separator/>
      </w:r>
    </w:p>
  </w:footnote>
  <w:footnote w:type="continuationSeparator" w:id="0">
    <w:p w14:paraId="5F986895" w14:textId="77777777" w:rsidR="00AF1467" w:rsidRDefault="00AF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282CFBDE" w14:textId="77777777" w:rsidTr="00A81175">
      <w:trPr>
        <w:trHeight w:hRule="exact" w:val="794"/>
      </w:trPr>
      <w:tc>
        <w:tcPr>
          <w:tcW w:w="5925" w:type="dxa"/>
          <w:noWrap/>
          <w:vAlign w:val="bottom"/>
        </w:tcPr>
        <w:p w14:paraId="2132B62E" w14:textId="11C3C3B4" w:rsidR="00B87E7F" w:rsidRDefault="006F68AA" w:rsidP="00725226">
          <w:pPr>
            <w:pStyle w:val="Header"/>
            <w:widowControl w:val="0"/>
            <w:overflowPunct w:val="0"/>
            <w:autoSpaceDE w:val="0"/>
            <w:autoSpaceDN w:val="0"/>
            <w:adjustRightInd w:val="0"/>
            <w:textAlignment w:val="baseline"/>
            <w:rPr>
              <w:rFonts w:cs="Arial"/>
              <w:sz w:val="16"/>
              <w:szCs w:val="16"/>
            </w:rPr>
          </w:pPr>
          <w:bookmarkStart w:id="2" w:name="Kopf2"/>
          <w:r>
            <w:t>Ocak 2022</w:t>
          </w:r>
        </w:p>
      </w:tc>
      <w:tc>
        <w:tcPr>
          <w:tcW w:w="3686" w:type="dxa"/>
          <w:noWrap/>
          <w:tcMar>
            <w:left w:w="17" w:type="dxa"/>
          </w:tcMar>
          <w:vAlign w:val="bottom"/>
        </w:tcPr>
        <w:p w14:paraId="3183CBC4" w14:textId="77777777" w:rsidR="00B87E7F" w:rsidRDefault="00A81175" w:rsidP="00CF4016">
          <w:pPr>
            <w:pStyle w:val="Header"/>
            <w:tabs>
              <w:tab w:val="left" w:pos="838"/>
              <w:tab w:val="left" w:pos="5273"/>
              <w:tab w:val="left" w:pos="6480"/>
            </w:tabs>
            <w:jc w:val="right"/>
            <w:rPr>
              <w:sz w:val="16"/>
              <w:szCs w:val="16"/>
            </w:rPr>
          </w:pPr>
          <w:r>
            <w:rPr>
              <w:noProof/>
              <w:sz w:val="16"/>
            </w:rPr>
            <w:drawing>
              <wp:inline distT="0" distB="0" distL="0" distR="0" wp14:anchorId="3B2D787B" wp14:editId="1895DEB9">
                <wp:extent cx="1799449" cy="425917"/>
                <wp:effectExtent l="0" t="0" r="0" b="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814694" cy="429525"/>
                        </a:xfrm>
                        <a:prstGeom prst="rect">
                          <a:avLst/>
                        </a:prstGeom>
                      </pic:spPr>
                    </pic:pic>
                  </a:graphicData>
                </a:graphic>
              </wp:inline>
            </w:drawing>
          </w:r>
        </w:p>
      </w:tc>
    </w:tr>
    <w:tr w:rsidR="00B87E7F" w14:paraId="5E1BA628" w14:textId="77777777" w:rsidTr="00A81175">
      <w:trPr>
        <w:trHeight w:hRule="exact" w:val="1049"/>
      </w:trPr>
      <w:tc>
        <w:tcPr>
          <w:tcW w:w="5925" w:type="dxa"/>
          <w:noWrap/>
          <w:tcMar>
            <w:left w:w="284" w:type="dxa"/>
          </w:tcMar>
          <w:vAlign w:val="bottom"/>
        </w:tcPr>
        <w:p w14:paraId="60C72912" w14:textId="77777777" w:rsidR="00B87E7F" w:rsidRDefault="00B87E7F" w:rsidP="00E40B63">
          <w:pPr>
            <w:pStyle w:val="Header"/>
            <w:widowControl w:val="0"/>
            <w:spacing w:line="340" w:lineRule="exact"/>
          </w:pPr>
          <w:bookmarkStart w:id="3" w:name="HeaderPage2Date"/>
          <w:bookmarkEnd w:id="3"/>
        </w:p>
      </w:tc>
      <w:tc>
        <w:tcPr>
          <w:tcW w:w="3686" w:type="dxa"/>
          <w:noWrap/>
          <w:tcMar>
            <w:left w:w="68" w:type="dxa"/>
          </w:tcMar>
          <w:vAlign w:val="bottom"/>
        </w:tcPr>
        <w:p w14:paraId="537F84EF" w14:textId="77777777" w:rsidR="00B87E7F" w:rsidRDefault="00E40B63" w:rsidP="000954FC">
          <w:pPr>
            <w:pStyle w:val="Header"/>
            <w:tabs>
              <w:tab w:val="left" w:pos="1474"/>
              <w:tab w:val="left" w:pos="5273"/>
              <w:tab w:val="left" w:pos="6480"/>
            </w:tabs>
            <w:spacing w:line="200" w:lineRule="exact"/>
            <w:ind w:right="440"/>
            <w:jc w:val="center"/>
          </w:pPr>
          <w:bookmarkStart w:id="4" w:name="HeaderPage2Name"/>
          <w:bookmarkEnd w:id="4"/>
          <w:r>
            <w:t xml:space="preserve">                </w:t>
          </w:r>
        </w:p>
      </w:tc>
    </w:tr>
  </w:tbl>
  <w:p w14:paraId="65C2247F" w14:textId="77777777" w:rsidR="00B87E7F" w:rsidRDefault="00B87E7F"/>
  <w:bookmarkEnd w:id="2"/>
  <w:p w14:paraId="63FEFF6A"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572FC" w14:textId="3A934C22" w:rsidR="00B87E7F" w:rsidRDefault="00EB5114" w:rsidP="00EB5114">
    <w:pPr>
      <w:pStyle w:val="Header"/>
      <w:jc w:val="right"/>
      <w:rPr>
        <w:sz w:val="14"/>
        <w:szCs w:val="14"/>
      </w:rPr>
    </w:pPr>
    <w:r>
      <w:rPr>
        <w:noProof/>
        <w:sz w:val="16"/>
      </w:rPr>
      <w:drawing>
        <wp:inline distT="0" distB="0" distL="0" distR="0" wp14:anchorId="40C4A24E" wp14:editId="25C61152">
          <wp:extent cx="1800225" cy="428625"/>
          <wp:effectExtent l="0" t="0" r="9525" b="9525"/>
          <wp:docPr id="6" name="Grafik 6" descr="CK_rgb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_rgb_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p>
  <w:p w14:paraId="3FDC89EC" w14:textId="77777777" w:rsidR="00EB5114" w:rsidRDefault="00EB5114" w:rsidP="00EB5114">
    <w:pPr>
      <w:pStyle w:val="Header"/>
      <w:jc w:val="right"/>
      <w:rPr>
        <w:sz w:val="14"/>
        <w:szCs w:val="14"/>
      </w:rPr>
    </w:pPr>
  </w:p>
  <w:p w14:paraId="0AA3E6D9" w14:textId="77777777" w:rsidR="00EB5114" w:rsidRPr="00EB5114" w:rsidRDefault="00EB5114" w:rsidP="00EB5114">
    <w:pPr>
      <w:pStyle w:val="Header"/>
      <w:jc w:val="right"/>
      <w:rPr>
        <w:sz w:val="24"/>
        <w:szCs w:val="28"/>
      </w:rPr>
    </w:pPr>
  </w:p>
  <w:p w14:paraId="4CDBCA94" w14:textId="77777777" w:rsidR="00EB5114" w:rsidRPr="00EB5114" w:rsidRDefault="00EB5114" w:rsidP="00EB5114">
    <w:pPr>
      <w:pStyle w:val="Header"/>
      <w:jc w:val="right"/>
      <w:rPr>
        <w:sz w:val="28"/>
        <w:szCs w:val="28"/>
      </w:rPr>
    </w:pPr>
  </w:p>
  <w:p w14:paraId="26F76F00" w14:textId="7D6A27AA" w:rsidR="00EB5114" w:rsidRPr="00EB5114" w:rsidRDefault="00EB5114" w:rsidP="00EB5114">
    <w:pPr>
      <w:pStyle w:val="Header"/>
      <w:rPr>
        <w:sz w:val="28"/>
        <w:szCs w:val="28"/>
      </w:rPr>
    </w:pPr>
    <w:r>
      <w:rPr>
        <w:sz w:val="28"/>
      </w:rPr>
      <w:t>DERHAL BASINA SUNULACAKTIR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1"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de-CH" w:vendorID="64" w:dllVersion="6" w:nlCheck="1" w:checkStyle="1"/>
  <w:activeWritingStyle w:appName="MSWord" w:lang="en-US" w:vendorID="64" w:dllVersion="0" w:nlCheck="1" w:checkStyle="0"/>
  <w:activeWritingStyle w:appName="MSWord" w:lang="de-CH" w:vendorID="64" w:dllVersion="0" w:nlCheck="1" w:checkStyle="0"/>
  <w:activeWritingStyle w:appName="MSWord" w:lang="de-DE" w:vendorID="64" w:dllVersion="0" w:nlCheck="1" w:checkStyle="0"/>
  <w:activeWritingStyle w:appName="MSWord" w:lang="tr-TR" w:vendorID="64" w:dllVersion="0"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E"/>
    <w:rsid w:val="00003690"/>
    <w:rsid w:val="000043AA"/>
    <w:rsid w:val="00005A32"/>
    <w:rsid w:val="000060B7"/>
    <w:rsid w:val="00011E7F"/>
    <w:rsid w:val="000205CF"/>
    <w:rsid w:val="000377F1"/>
    <w:rsid w:val="00043409"/>
    <w:rsid w:val="00045BBE"/>
    <w:rsid w:val="00046DF6"/>
    <w:rsid w:val="000517CE"/>
    <w:rsid w:val="00052988"/>
    <w:rsid w:val="00070A02"/>
    <w:rsid w:val="000827E6"/>
    <w:rsid w:val="000954FC"/>
    <w:rsid w:val="000967EF"/>
    <w:rsid w:val="00097B71"/>
    <w:rsid w:val="00097C2A"/>
    <w:rsid w:val="000A3B56"/>
    <w:rsid w:val="000B7A88"/>
    <w:rsid w:val="000C277B"/>
    <w:rsid w:val="000C531A"/>
    <w:rsid w:val="000C5C61"/>
    <w:rsid w:val="000C69F6"/>
    <w:rsid w:val="000D0930"/>
    <w:rsid w:val="000D6F4C"/>
    <w:rsid w:val="000E7C73"/>
    <w:rsid w:val="000E7F48"/>
    <w:rsid w:val="000F1636"/>
    <w:rsid w:val="000F4431"/>
    <w:rsid w:val="000F55C1"/>
    <w:rsid w:val="000F5979"/>
    <w:rsid w:val="00100DAA"/>
    <w:rsid w:val="001016A1"/>
    <w:rsid w:val="001162C4"/>
    <w:rsid w:val="00122065"/>
    <w:rsid w:val="00122BC5"/>
    <w:rsid w:val="00132EEC"/>
    <w:rsid w:val="00134580"/>
    <w:rsid w:val="0013631C"/>
    <w:rsid w:val="00141B1E"/>
    <w:rsid w:val="00142FFF"/>
    <w:rsid w:val="0015228F"/>
    <w:rsid w:val="0015764A"/>
    <w:rsid w:val="00166233"/>
    <w:rsid w:val="00173121"/>
    <w:rsid w:val="00190BDE"/>
    <w:rsid w:val="00192B86"/>
    <w:rsid w:val="00193C95"/>
    <w:rsid w:val="001A3E25"/>
    <w:rsid w:val="001A7E41"/>
    <w:rsid w:val="001B68B8"/>
    <w:rsid w:val="001B732F"/>
    <w:rsid w:val="001C09FB"/>
    <w:rsid w:val="001C7D25"/>
    <w:rsid w:val="001D11EE"/>
    <w:rsid w:val="001E5236"/>
    <w:rsid w:val="002225E0"/>
    <w:rsid w:val="00234BA9"/>
    <w:rsid w:val="00240ECD"/>
    <w:rsid w:val="00266C34"/>
    <w:rsid w:val="002703CB"/>
    <w:rsid w:val="00280C64"/>
    <w:rsid w:val="0028384F"/>
    <w:rsid w:val="002868AC"/>
    <w:rsid w:val="00290042"/>
    <w:rsid w:val="00291EF9"/>
    <w:rsid w:val="0029499F"/>
    <w:rsid w:val="002A62FF"/>
    <w:rsid w:val="002B6CD7"/>
    <w:rsid w:val="002C19E9"/>
    <w:rsid w:val="002D0492"/>
    <w:rsid w:val="002D5447"/>
    <w:rsid w:val="002D6CF7"/>
    <w:rsid w:val="00313276"/>
    <w:rsid w:val="00322B83"/>
    <w:rsid w:val="0033789A"/>
    <w:rsid w:val="00341924"/>
    <w:rsid w:val="0035374D"/>
    <w:rsid w:val="00357A64"/>
    <w:rsid w:val="003652EC"/>
    <w:rsid w:val="00376DBF"/>
    <w:rsid w:val="00381C1A"/>
    <w:rsid w:val="00392AA7"/>
    <w:rsid w:val="003972A1"/>
    <w:rsid w:val="003A0319"/>
    <w:rsid w:val="003A0511"/>
    <w:rsid w:val="003B20DF"/>
    <w:rsid w:val="003B46B8"/>
    <w:rsid w:val="003B695E"/>
    <w:rsid w:val="003C76F6"/>
    <w:rsid w:val="003D0D75"/>
    <w:rsid w:val="003D42FC"/>
    <w:rsid w:val="003E3BC9"/>
    <w:rsid w:val="003F099F"/>
    <w:rsid w:val="0040684D"/>
    <w:rsid w:val="00415C98"/>
    <w:rsid w:val="00424DE9"/>
    <w:rsid w:val="00427774"/>
    <w:rsid w:val="00441C23"/>
    <w:rsid w:val="0045290E"/>
    <w:rsid w:val="004534A8"/>
    <w:rsid w:val="0046122F"/>
    <w:rsid w:val="00466116"/>
    <w:rsid w:val="0046653D"/>
    <w:rsid w:val="00475879"/>
    <w:rsid w:val="00476D50"/>
    <w:rsid w:val="00480147"/>
    <w:rsid w:val="00484260"/>
    <w:rsid w:val="004A4286"/>
    <w:rsid w:val="004C09DF"/>
    <w:rsid w:val="004E3EAE"/>
    <w:rsid w:val="004F1BBB"/>
    <w:rsid w:val="00505E16"/>
    <w:rsid w:val="00525565"/>
    <w:rsid w:val="005319AE"/>
    <w:rsid w:val="0054598E"/>
    <w:rsid w:val="00553842"/>
    <w:rsid w:val="00554A66"/>
    <w:rsid w:val="005577CC"/>
    <w:rsid w:val="005749DF"/>
    <w:rsid w:val="00575610"/>
    <w:rsid w:val="0057627B"/>
    <w:rsid w:val="00577627"/>
    <w:rsid w:val="005826D4"/>
    <w:rsid w:val="00582B7F"/>
    <w:rsid w:val="00582CBF"/>
    <w:rsid w:val="00586D79"/>
    <w:rsid w:val="00587BDB"/>
    <w:rsid w:val="00590AE1"/>
    <w:rsid w:val="005A29A5"/>
    <w:rsid w:val="005A3603"/>
    <w:rsid w:val="005A49EC"/>
    <w:rsid w:val="005B28D9"/>
    <w:rsid w:val="005B3B93"/>
    <w:rsid w:val="005B68E7"/>
    <w:rsid w:val="005C2BC5"/>
    <w:rsid w:val="005D1DAD"/>
    <w:rsid w:val="005E0E11"/>
    <w:rsid w:val="005E1728"/>
    <w:rsid w:val="005E5AD8"/>
    <w:rsid w:val="005E74E6"/>
    <w:rsid w:val="005F67A3"/>
    <w:rsid w:val="00606E25"/>
    <w:rsid w:val="00616288"/>
    <w:rsid w:val="00622924"/>
    <w:rsid w:val="0062498E"/>
    <w:rsid w:val="006307F7"/>
    <w:rsid w:val="006431DC"/>
    <w:rsid w:val="00647DEC"/>
    <w:rsid w:val="0065422C"/>
    <w:rsid w:val="00657BED"/>
    <w:rsid w:val="006611B8"/>
    <w:rsid w:val="00663A57"/>
    <w:rsid w:val="006653FD"/>
    <w:rsid w:val="0066781E"/>
    <w:rsid w:val="00674340"/>
    <w:rsid w:val="0068644B"/>
    <w:rsid w:val="006901DF"/>
    <w:rsid w:val="006A2FAF"/>
    <w:rsid w:val="006A53F5"/>
    <w:rsid w:val="006A685F"/>
    <w:rsid w:val="006A7516"/>
    <w:rsid w:val="006B29D1"/>
    <w:rsid w:val="006C4143"/>
    <w:rsid w:val="006D1E28"/>
    <w:rsid w:val="006D6940"/>
    <w:rsid w:val="006E57D3"/>
    <w:rsid w:val="006E6276"/>
    <w:rsid w:val="006F68AA"/>
    <w:rsid w:val="00720718"/>
    <w:rsid w:val="00725226"/>
    <w:rsid w:val="007408AE"/>
    <w:rsid w:val="00746679"/>
    <w:rsid w:val="00752DE3"/>
    <w:rsid w:val="00755D4D"/>
    <w:rsid w:val="00757E2B"/>
    <w:rsid w:val="00764787"/>
    <w:rsid w:val="0077467F"/>
    <w:rsid w:val="007748C3"/>
    <w:rsid w:val="007750F1"/>
    <w:rsid w:val="007862F4"/>
    <w:rsid w:val="00786E15"/>
    <w:rsid w:val="007906E3"/>
    <w:rsid w:val="007A401D"/>
    <w:rsid w:val="007B1BF6"/>
    <w:rsid w:val="007B1CC0"/>
    <w:rsid w:val="007B1CC4"/>
    <w:rsid w:val="007B4B51"/>
    <w:rsid w:val="007D0D1E"/>
    <w:rsid w:val="007E2FA8"/>
    <w:rsid w:val="00807332"/>
    <w:rsid w:val="00816B6E"/>
    <w:rsid w:val="0082058A"/>
    <w:rsid w:val="00826988"/>
    <w:rsid w:val="0083215A"/>
    <w:rsid w:val="008346CD"/>
    <w:rsid w:val="008406EE"/>
    <w:rsid w:val="00853AC6"/>
    <w:rsid w:val="008609A9"/>
    <w:rsid w:val="00866220"/>
    <w:rsid w:val="00873AF2"/>
    <w:rsid w:val="008B1F52"/>
    <w:rsid w:val="008B69DF"/>
    <w:rsid w:val="008D09A9"/>
    <w:rsid w:val="008E033E"/>
    <w:rsid w:val="008E267C"/>
    <w:rsid w:val="008E42A6"/>
    <w:rsid w:val="00911076"/>
    <w:rsid w:val="0091332A"/>
    <w:rsid w:val="009237A6"/>
    <w:rsid w:val="00940963"/>
    <w:rsid w:val="00944246"/>
    <w:rsid w:val="009518A0"/>
    <w:rsid w:val="00955A97"/>
    <w:rsid w:val="009635A7"/>
    <w:rsid w:val="00970BB4"/>
    <w:rsid w:val="009721CF"/>
    <w:rsid w:val="009814E7"/>
    <w:rsid w:val="00995BAA"/>
    <w:rsid w:val="00997A70"/>
    <w:rsid w:val="009A5F27"/>
    <w:rsid w:val="009A65EF"/>
    <w:rsid w:val="009B55BF"/>
    <w:rsid w:val="009C2615"/>
    <w:rsid w:val="009E60A1"/>
    <w:rsid w:val="009F27A6"/>
    <w:rsid w:val="009F3DB6"/>
    <w:rsid w:val="00A11667"/>
    <w:rsid w:val="00A138A1"/>
    <w:rsid w:val="00A30B37"/>
    <w:rsid w:val="00A5496E"/>
    <w:rsid w:val="00A63D0D"/>
    <w:rsid w:val="00A667B3"/>
    <w:rsid w:val="00A81175"/>
    <w:rsid w:val="00A93D9D"/>
    <w:rsid w:val="00A96E7D"/>
    <w:rsid w:val="00AA4B2E"/>
    <w:rsid w:val="00AC7D31"/>
    <w:rsid w:val="00AF1467"/>
    <w:rsid w:val="00AF3253"/>
    <w:rsid w:val="00AF6EBA"/>
    <w:rsid w:val="00AF78DE"/>
    <w:rsid w:val="00B05245"/>
    <w:rsid w:val="00B07047"/>
    <w:rsid w:val="00B135D0"/>
    <w:rsid w:val="00B16493"/>
    <w:rsid w:val="00B207E2"/>
    <w:rsid w:val="00B21651"/>
    <w:rsid w:val="00B247D1"/>
    <w:rsid w:val="00B25A36"/>
    <w:rsid w:val="00B5065C"/>
    <w:rsid w:val="00B54B2F"/>
    <w:rsid w:val="00B5597E"/>
    <w:rsid w:val="00B610A4"/>
    <w:rsid w:val="00B6190E"/>
    <w:rsid w:val="00B7492B"/>
    <w:rsid w:val="00B75C51"/>
    <w:rsid w:val="00B81F98"/>
    <w:rsid w:val="00B8770C"/>
    <w:rsid w:val="00B878DD"/>
    <w:rsid w:val="00B87E7F"/>
    <w:rsid w:val="00B928AF"/>
    <w:rsid w:val="00BA0846"/>
    <w:rsid w:val="00BA2E9B"/>
    <w:rsid w:val="00BB050B"/>
    <w:rsid w:val="00BB533F"/>
    <w:rsid w:val="00BC1B32"/>
    <w:rsid w:val="00BC5586"/>
    <w:rsid w:val="00BD400C"/>
    <w:rsid w:val="00BD5B47"/>
    <w:rsid w:val="00BE0D2B"/>
    <w:rsid w:val="00BF68DC"/>
    <w:rsid w:val="00C015ED"/>
    <w:rsid w:val="00C11286"/>
    <w:rsid w:val="00C137E6"/>
    <w:rsid w:val="00C15829"/>
    <w:rsid w:val="00C31B24"/>
    <w:rsid w:val="00C35454"/>
    <w:rsid w:val="00C446A2"/>
    <w:rsid w:val="00C47247"/>
    <w:rsid w:val="00C53482"/>
    <w:rsid w:val="00C53EF9"/>
    <w:rsid w:val="00C7409F"/>
    <w:rsid w:val="00C8585D"/>
    <w:rsid w:val="00C8788D"/>
    <w:rsid w:val="00C91F7A"/>
    <w:rsid w:val="00C95F0E"/>
    <w:rsid w:val="00CB1CDD"/>
    <w:rsid w:val="00CD157C"/>
    <w:rsid w:val="00CE14D0"/>
    <w:rsid w:val="00CF3A5B"/>
    <w:rsid w:val="00CF4016"/>
    <w:rsid w:val="00CF7C57"/>
    <w:rsid w:val="00D0349B"/>
    <w:rsid w:val="00D05ABC"/>
    <w:rsid w:val="00D159F0"/>
    <w:rsid w:val="00D160EC"/>
    <w:rsid w:val="00D16B03"/>
    <w:rsid w:val="00D24448"/>
    <w:rsid w:val="00D33C22"/>
    <w:rsid w:val="00D354C4"/>
    <w:rsid w:val="00D4397D"/>
    <w:rsid w:val="00D447D8"/>
    <w:rsid w:val="00D53E54"/>
    <w:rsid w:val="00D76B7B"/>
    <w:rsid w:val="00D775DD"/>
    <w:rsid w:val="00D9358A"/>
    <w:rsid w:val="00D95760"/>
    <w:rsid w:val="00DA1F1C"/>
    <w:rsid w:val="00DA5C88"/>
    <w:rsid w:val="00DA5F0C"/>
    <w:rsid w:val="00DB5292"/>
    <w:rsid w:val="00DC2FAB"/>
    <w:rsid w:val="00DD49B9"/>
    <w:rsid w:val="00DD5635"/>
    <w:rsid w:val="00DE2D7D"/>
    <w:rsid w:val="00E0667B"/>
    <w:rsid w:val="00E234C2"/>
    <w:rsid w:val="00E23983"/>
    <w:rsid w:val="00E24445"/>
    <w:rsid w:val="00E306A5"/>
    <w:rsid w:val="00E33264"/>
    <w:rsid w:val="00E370EA"/>
    <w:rsid w:val="00E3719C"/>
    <w:rsid w:val="00E40B63"/>
    <w:rsid w:val="00E520BA"/>
    <w:rsid w:val="00E6196B"/>
    <w:rsid w:val="00E8066E"/>
    <w:rsid w:val="00EA56C5"/>
    <w:rsid w:val="00EA6D12"/>
    <w:rsid w:val="00EB248B"/>
    <w:rsid w:val="00EB2B19"/>
    <w:rsid w:val="00EB5114"/>
    <w:rsid w:val="00EC42AE"/>
    <w:rsid w:val="00EC57A1"/>
    <w:rsid w:val="00ED056B"/>
    <w:rsid w:val="00ED51C1"/>
    <w:rsid w:val="00EE25A6"/>
    <w:rsid w:val="00EF0EB0"/>
    <w:rsid w:val="00F00F41"/>
    <w:rsid w:val="00F012BD"/>
    <w:rsid w:val="00F14CD9"/>
    <w:rsid w:val="00F2224A"/>
    <w:rsid w:val="00F32FF4"/>
    <w:rsid w:val="00F4020D"/>
    <w:rsid w:val="00F412EC"/>
    <w:rsid w:val="00F57981"/>
    <w:rsid w:val="00F61966"/>
    <w:rsid w:val="00F72BD8"/>
    <w:rsid w:val="00FA4F0A"/>
    <w:rsid w:val="00FB1445"/>
    <w:rsid w:val="00FB1801"/>
    <w:rsid w:val="00FC2239"/>
    <w:rsid w:val="00FD2250"/>
    <w:rsid w:val="00FE19AD"/>
    <w:rsid w:val="00FF27A9"/>
    <w:rsid w:val="00FF2B6D"/>
    <w:rsid w:val="00FF608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61D7F"/>
  <w15:docId w15:val="{A2F11E4F-4C4B-4E06-BBAE-21F560C6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F32FF4"/>
    <w:pPr>
      <w:keepNext/>
      <w:overflowPunct w:val="0"/>
      <w:autoSpaceDE w:val="0"/>
      <w:autoSpaceDN w:val="0"/>
      <w:adjustRightInd w:val="0"/>
      <w:spacing w:before="240" w:after="240"/>
      <w:ind w:left="567" w:hanging="567"/>
      <w:textAlignment w:val="baseline"/>
      <w:outlineLvl w:val="3"/>
    </w:pPr>
    <w:rPr>
      <w:b/>
      <w:szCs w:val="20"/>
    </w:rPr>
  </w:style>
  <w:style w:type="paragraph" w:styleId="Heading5">
    <w:name w:val="heading 5"/>
    <w:basedOn w:val="Normal"/>
    <w:next w:val="Normal"/>
    <w:link w:val="Heading5Char"/>
    <w:qFormat/>
    <w:rsid w:val="00F32FF4"/>
    <w:pPr>
      <w:overflowPunct w:val="0"/>
      <w:autoSpaceDE w:val="0"/>
      <w:autoSpaceDN w:val="0"/>
      <w:adjustRightInd w:val="0"/>
      <w:spacing w:before="240" w:after="240"/>
      <w:ind w:left="567" w:hanging="567"/>
      <w:textAlignment w:val="baseline"/>
      <w:outlineLvl w:val="4"/>
    </w:pPr>
    <w:rPr>
      <w:b/>
      <w:szCs w:val="20"/>
    </w:rPr>
  </w:style>
  <w:style w:type="paragraph" w:styleId="Heading6">
    <w:name w:val="heading 6"/>
    <w:basedOn w:val="Normal"/>
    <w:next w:val="Normal"/>
    <w:link w:val="Heading6Char"/>
    <w:qFormat/>
    <w:rsid w:val="00F32FF4"/>
    <w:pPr>
      <w:overflowPunct w:val="0"/>
      <w:autoSpaceDE w:val="0"/>
      <w:autoSpaceDN w:val="0"/>
      <w:adjustRightInd w:val="0"/>
      <w:spacing w:before="240" w:after="240"/>
      <w:ind w:left="567" w:hanging="567"/>
      <w:textAlignment w:val="baseline"/>
      <w:outlineLvl w:val="5"/>
    </w:pPr>
    <w:rPr>
      <w:b/>
      <w:szCs w:val="20"/>
    </w:rPr>
  </w:style>
  <w:style w:type="paragraph" w:styleId="Heading7">
    <w:name w:val="heading 7"/>
    <w:basedOn w:val="Normal"/>
    <w:next w:val="Normal"/>
    <w:link w:val="Heading7Char"/>
    <w:qFormat/>
    <w:rsid w:val="00F32FF4"/>
    <w:pPr>
      <w:overflowPunct w:val="0"/>
      <w:autoSpaceDE w:val="0"/>
      <w:autoSpaceDN w:val="0"/>
      <w:adjustRightInd w:val="0"/>
      <w:spacing w:before="240" w:after="240"/>
      <w:ind w:left="567" w:hanging="567"/>
      <w:textAlignment w:val="baseline"/>
      <w:outlineLvl w:val="6"/>
    </w:pPr>
    <w:rPr>
      <w:b/>
      <w:szCs w:val="20"/>
    </w:rPr>
  </w:style>
  <w:style w:type="paragraph" w:styleId="Heading8">
    <w:name w:val="heading 8"/>
    <w:basedOn w:val="Normal"/>
    <w:next w:val="Normal"/>
    <w:link w:val="Heading8Char"/>
    <w:qFormat/>
    <w:rsid w:val="00F32FF4"/>
    <w:pPr>
      <w:overflowPunct w:val="0"/>
      <w:autoSpaceDE w:val="0"/>
      <w:autoSpaceDN w:val="0"/>
      <w:adjustRightInd w:val="0"/>
      <w:spacing w:before="240" w:after="240"/>
      <w:ind w:left="567" w:hanging="567"/>
      <w:textAlignment w:val="baseline"/>
      <w:outlineLvl w:val="7"/>
    </w:pPr>
    <w:rPr>
      <w:b/>
      <w:szCs w:val="20"/>
    </w:rPr>
  </w:style>
  <w:style w:type="paragraph" w:styleId="Heading9">
    <w:name w:val="heading 9"/>
    <w:basedOn w:val="Normal"/>
    <w:next w:val="Normal"/>
    <w:link w:val="Heading9Char"/>
    <w:qFormat/>
    <w:rsid w:val="00F32FF4"/>
    <w:pPr>
      <w:overflowPunct w:val="0"/>
      <w:autoSpaceDE w:val="0"/>
      <w:autoSpaceDN w:val="0"/>
      <w:adjustRightInd w:val="0"/>
      <w:spacing w:before="240" w:after="240"/>
      <w:ind w:left="567" w:hanging="567"/>
      <w:textAlignment w:val="baseline"/>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tyle>
  <w:style w:type="paragraph" w:styleId="Footer">
    <w:name w:val="footer"/>
    <w:basedOn w:val="Normal"/>
    <w:rPr>
      <w:sz w:val="14"/>
    </w:rPr>
  </w:style>
  <w:style w:type="paragraph" w:styleId="BalloonText">
    <w:name w:val="Balloon Text"/>
    <w:basedOn w:val="Normal"/>
    <w:semiHidden/>
    <w:rPr>
      <w:rFonts w:ascii="Tahoma" w:hAnsi="Tahoma" w:cs="Tahoma"/>
      <w:sz w:val="16"/>
      <w:szCs w:val="16"/>
    </w:rPr>
  </w:style>
  <w:style w:type="paragraph" w:customStyle="1" w:styleId="Pressemitteilung">
    <w:name w:val="Pressemitteilung"/>
    <w:basedOn w:val="Normal"/>
    <w:next w:val="Normal"/>
    <w:pPr>
      <w:spacing w:before="200"/>
    </w:pPr>
    <w:rPr>
      <w:b/>
      <w:szCs w:val="20"/>
    </w:rPr>
  </w:style>
  <w:style w:type="paragraph" w:customStyle="1" w:styleId="Kontakt">
    <w:name w:val="Kontakt"/>
    <w:basedOn w:val="Normal"/>
    <w:pPr>
      <w:spacing w:line="200" w:lineRule="exact"/>
      <w:ind w:left="7088"/>
    </w:pPr>
    <w:rPr>
      <w:sz w:val="14"/>
      <w:szCs w:val="20"/>
    </w:rPr>
  </w:style>
  <w:style w:type="paragraph" w:customStyle="1" w:styleId="text">
    <w:name w:val="text"/>
    <w:basedOn w:val="Normal"/>
    <w:pPr>
      <w:spacing w:line="360" w:lineRule="auto"/>
    </w:pPr>
    <w:rPr>
      <w:szCs w:val="20"/>
    </w:rPr>
  </w:style>
  <w:style w:type="paragraph" w:customStyle="1" w:styleId="berschrift14p">
    <w:name w:val="Überschrift 14p"/>
    <w:basedOn w:val="Normal"/>
    <w:next w:val="Normal"/>
    <w:rPr>
      <w:b/>
      <w:sz w:val="28"/>
      <w:szCs w:val="20"/>
    </w:rPr>
  </w:style>
  <w:style w:type="character" w:styleId="Hyperlink">
    <w:name w:val="Hyperlink"/>
    <w:rPr>
      <w:color w:val="0000FF"/>
      <w:u w:val="single"/>
    </w:rPr>
  </w:style>
  <w:style w:type="paragraph" w:customStyle="1" w:styleId="Absatzformat1">
    <w:name w:val="Absatzformat 1"/>
    <w:basedOn w:val="Normal"/>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Normal"/>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PageNumber">
    <w:name w:val="page number"/>
    <w:basedOn w:val="DefaultParagraphFont"/>
    <w:semiHidden/>
  </w:style>
  <w:style w:type="paragraph" w:customStyle="1" w:styleId="bild">
    <w:name w:val="bild"/>
    <w:basedOn w:val="text"/>
    <w:pPr>
      <w:spacing w:before="240"/>
    </w:pPr>
    <w:rPr>
      <w:i/>
    </w:rPr>
  </w:style>
  <w:style w:type="paragraph" w:styleId="NormalWeb">
    <w:name w:val="Normal (Web)"/>
    <w:basedOn w:val="Normal"/>
    <w:semiHidden/>
    <w:pPr>
      <w:spacing w:before="30" w:after="30"/>
    </w:pPr>
    <w:rPr>
      <w:rFonts w:eastAsia="Arial Unicode MS" w:cs="Arial"/>
      <w:color w:val="000000"/>
      <w:sz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character" w:customStyle="1" w:styleId="normaltext">
    <w:name w:val="normaltext"/>
    <w:basedOn w:val="DefaultParagraphFont"/>
  </w:style>
  <w:style w:type="character" w:styleId="Strong">
    <w:name w:val="Strong"/>
    <w:basedOn w:val="DefaultParagraphFon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eastAsia="en-US"/>
    </w:rPr>
  </w:style>
  <w:style w:type="character" w:customStyle="1" w:styleId="HeaderChar">
    <w:name w:val="Header Char"/>
    <w:basedOn w:val="DefaultParagraphFont"/>
    <w:link w:val="Header"/>
    <w:rsid w:val="00AF6EBA"/>
    <w:rPr>
      <w:rFonts w:ascii="Arial" w:hAnsi="Arial"/>
      <w:sz w:val="22"/>
      <w:szCs w:val="24"/>
      <w:lang w:eastAsia="de-DE"/>
    </w:rPr>
  </w:style>
  <w:style w:type="paragraph" w:customStyle="1" w:styleId="prtext">
    <w:name w:val="pr text"/>
    <w:basedOn w:val="Normal"/>
    <w:rsid w:val="005B68E7"/>
    <w:pPr>
      <w:autoSpaceDE w:val="0"/>
      <w:autoSpaceDN w:val="0"/>
      <w:adjustRightInd w:val="0"/>
    </w:pPr>
    <w:rPr>
      <w:rFonts w:ascii="Times New Roman" w:hAnsi="Times New Roman"/>
      <w:sz w:val="24"/>
      <w:lang w:eastAsia="en-US"/>
    </w:rPr>
  </w:style>
  <w:style w:type="paragraph" w:styleId="BodyText">
    <w:name w:val="Body Text"/>
    <w:basedOn w:val="Normal"/>
    <w:link w:val="BodyTextChar"/>
    <w:rsid w:val="00C446A2"/>
    <w:pPr>
      <w:widowControl w:val="0"/>
      <w:spacing w:after="120"/>
    </w:pPr>
    <w:rPr>
      <w:rFonts w:ascii="Times New Roman" w:hAnsi="Times New Roman"/>
      <w:snapToGrid w:val="0"/>
      <w:sz w:val="24"/>
      <w:szCs w:val="20"/>
      <w:lang w:eastAsia="en-US"/>
    </w:rPr>
  </w:style>
  <w:style w:type="character" w:customStyle="1" w:styleId="BodyTextChar">
    <w:name w:val="Body Text Char"/>
    <w:basedOn w:val="DefaultParagraphFont"/>
    <w:link w:val="BodyText"/>
    <w:rsid w:val="00C446A2"/>
    <w:rPr>
      <w:snapToGrid w:val="0"/>
      <w:sz w:val="24"/>
      <w:lang w:val="tr-TR" w:eastAsia="en-US"/>
    </w:rPr>
  </w:style>
  <w:style w:type="character" w:customStyle="1" w:styleId="Heading4Char">
    <w:name w:val="Heading 4 Char"/>
    <w:basedOn w:val="DefaultParagraphFont"/>
    <w:link w:val="Heading4"/>
    <w:rsid w:val="00F32FF4"/>
    <w:rPr>
      <w:rFonts w:ascii="Arial" w:hAnsi="Arial"/>
      <w:b/>
      <w:sz w:val="22"/>
      <w:lang w:eastAsia="de-DE"/>
    </w:rPr>
  </w:style>
  <w:style w:type="character" w:customStyle="1" w:styleId="Heading5Char">
    <w:name w:val="Heading 5 Char"/>
    <w:basedOn w:val="DefaultParagraphFont"/>
    <w:link w:val="Heading5"/>
    <w:rsid w:val="00F32FF4"/>
    <w:rPr>
      <w:rFonts w:ascii="Arial" w:hAnsi="Arial"/>
      <w:b/>
      <w:sz w:val="22"/>
      <w:lang w:eastAsia="de-DE"/>
    </w:rPr>
  </w:style>
  <w:style w:type="character" w:customStyle="1" w:styleId="Heading6Char">
    <w:name w:val="Heading 6 Char"/>
    <w:basedOn w:val="DefaultParagraphFont"/>
    <w:link w:val="Heading6"/>
    <w:rsid w:val="00F32FF4"/>
    <w:rPr>
      <w:rFonts w:ascii="Arial" w:hAnsi="Arial"/>
      <w:b/>
      <w:sz w:val="22"/>
      <w:lang w:eastAsia="de-DE"/>
    </w:rPr>
  </w:style>
  <w:style w:type="character" w:customStyle="1" w:styleId="Heading7Char">
    <w:name w:val="Heading 7 Char"/>
    <w:basedOn w:val="DefaultParagraphFont"/>
    <w:link w:val="Heading7"/>
    <w:rsid w:val="00F32FF4"/>
    <w:rPr>
      <w:rFonts w:ascii="Arial" w:hAnsi="Arial"/>
      <w:b/>
      <w:sz w:val="22"/>
      <w:lang w:eastAsia="de-DE"/>
    </w:rPr>
  </w:style>
  <w:style w:type="character" w:customStyle="1" w:styleId="Heading8Char">
    <w:name w:val="Heading 8 Char"/>
    <w:basedOn w:val="DefaultParagraphFont"/>
    <w:link w:val="Heading8"/>
    <w:rsid w:val="00F32FF4"/>
    <w:rPr>
      <w:rFonts w:ascii="Arial" w:hAnsi="Arial"/>
      <w:b/>
      <w:sz w:val="22"/>
      <w:lang w:eastAsia="de-DE"/>
    </w:rPr>
  </w:style>
  <w:style w:type="character" w:customStyle="1" w:styleId="Heading9Char">
    <w:name w:val="Heading 9 Char"/>
    <w:basedOn w:val="DefaultParagraphFont"/>
    <w:link w:val="Heading9"/>
    <w:rsid w:val="00F32FF4"/>
    <w:rPr>
      <w:rFonts w:ascii="Arial" w:hAnsi="Arial"/>
      <w:b/>
      <w:sz w:val="22"/>
      <w:lang w:eastAsia="de-DE"/>
    </w:rPr>
  </w:style>
  <w:style w:type="paragraph" w:styleId="CommentSubject">
    <w:name w:val="annotation subject"/>
    <w:basedOn w:val="CommentText"/>
    <w:next w:val="CommentText"/>
    <w:link w:val="CommentSubjectChar"/>
    <w:uiPriority w:val="99"/>
    <w:semiHidden/>
    <w:unhideWhenUsed/>
    <w:rsid w:val="00FE19AD"/>
    <w:rPr>
      <w:b/>
      <w:bCs/>
    </w:rPr>
  </w:style>
  <w:style w:type="character" w:customStyle="1" w:styleId="CommentTextChar">
    <w:name w:val="Comment Text Char"/>
    <w:basedOn w:val="DefaultParagraphFont"/>
    <w:link w:val="CommentText"/>
    <w:semiHidden/>
    <w:rsid w:val="00FE19AD"/>
    <w:rPr>
      <w:rFonts w:ascii="Arial" w:hAnsi="Arial"/>
      <w:lang w:eastAsia="de-DE"/>
    </w:rPr>
  </w:style>
  <w:style w:type="character" w:customStyle="1" w:styleId="CommentSubjectChar">
    <w:name w:val="Comment Subject Char"/>
    <w:basedOn w:val="CommentTextChar"/>
    <w:link w:val="CommentSubject"/>
    <w:uiPriority w:val="99"/>
    <w:semiHidden/>
    <w:rsid w:val="00FE19AD"/>
    <w:rPr>
      <w:rFonts w:ascii="Arial" w:hAnsi="Arial"/>
      <w:b/>
      <w:bCs/>
      <w:lang w:eastAsia="de-DE"/>
    </w:rPr>
  </w:style>
  <w:style w:type="paragraph" w:styleId="Revision">
    <w:name w:val="Revision"/>
    <w:hidden/>
    <w:uiPriority w:val="99"/>
    <w:semiHidden/>
    <w:rsid w:val="00C91F7A"/>
    <w:rPr>
      <w:rFonts w:ascii="Arial" w:hAnsi="Arial"/>
      <w:sz w:val="22"/>
      <w:szCs w:val="24"/>
      <w:lang w:eastAsia="de-DE"/>
    </w:rPr>
  </w:style>
  <w:style w:type="paragraph" w:customStyle="1" w:styleId="Body">
    <w:name w:val="Body"/>
    <w:rsid w:val="000E7F48"/>
    <w:pPr>
      <w:pBdr>
        <w:top w:val="nil"/>
        <w:left w:val="nil"/>
        <w:bottom w:val="nil"/>
        <w:right w:val="nil"/>
        <w:between w:val="nil"/>
        <w:bar w:val="nil"/>
      </w:pBdr>
    </w:pPr>
    <w:rPr>
      <w:rFonts w:ascii="Arial" w:eastAsia="Arial" w:hAnsi="Arial" w:cs="Arial"/>
      <w:color w:val="000000"/>
      <w:sz w:val="22"/>
      <w:szCs w:val="22"/>
      <w:u w:color="000000"/>
      <w:bdr w:val="nil"/>
    </w:rPr>
  </w:style>
  <w:style w:type="character" w:customStyle="1" w:styleId="Link">
    <w:name w:val="Link"/>
    <w:rsid w:val="000E7F48"/>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0410">
      <w:bodyDiv w:val="1"/>
      <w:marLeft w:val="0"/>
      <w:marRight w:val="0"/>
      <w:marTop w:val="0"/>
      <w:marBottom w:val="0"/>
      <w:divBdr>
        <w:top w:val="none" w:sz="0" w:space="0" w:color="auto"/>
        <w:left w:val="none" w:sz="0" w:space="0" w:color="auto"/>
        <w:bottom w:val="none" w:sz="0" w:space="0" w:color="auto"/>
        <w:right w:val="none" w:sz="0" w:space="0" w:color="auto"/>
      </w:divBdr>
    </w:div>
    <w:div w:id="5020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A1E48-7907-41E7-9DA3-C9DFDDB7F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6122</Characters>
  <Application>Microsoft Office Word</Application>
  <DocSecurity>4</DocSecurity>
  <Lines>51</Lines>
  <Paragraphs>13</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Coperion Blank Document</vt:lpstr>
      <vt:lpstr>Coperion Blank Document</vt:lpstr>
      <vt:lpstr>Coperion Blank Document</vt:lpstr>
    </vt:vector>
  </TitlesOfParts>
  <Company>Coperion</Company>
  <LinksUpToDate>false</LinksUpToDate>
  <CharactersWithSpaces>6985</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Sullivan, Regula</cp:lastModifiedBy>
  <cp:revision>2</cp:revision>
  <cp:lastPrinted>2019-09-09T06:50:00Z</cp:lastPrinted>
  <dcterms:created xsi:type="dcterms:W3CDTF">2022-01-28T13:22:00Z</dcterms:created>
  <dcterms:modified xsi:type="dcterms:W3CDTF">2022-01-28T13:22:00Z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