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CF970" w14:textId="6C80AEB3" w:rsidR="00B87E7F" w:rsidRPr="006431DC" w:rsidRDefault="008609A9" w:rsidP="00970BB4">
      <w:pPr>
        <w:pStyle w:val="Kontakt"/>
        <w:ind w:left="7230"/>
        <w:rPr>
          <w:b/>
        </w:rPr>
      </w:pPr>
      <w:r>
        <w:rPr>
          <w:b/>
        </w:rPr>
        <w:t>Contatto</w:t>
      </w:r>
    </w:p>
    <w:p w14:paraId="6F7A29CE" w14:textId="24119162" w:rsidR="00B87E7F" w:rsidRPr="006431DC" w:rsidRDefault="00E24445">
      <w:pPr>
        <w:pStyle w:val="Kontakt"/>
        <w:ind w:left="7230"/>
      </w:pPr>
      <w:r>
        <w:t>Regula Sullivan</w:t>
      </w:r>
    </w:p>
    <w:p w14:paraId="3CA2C829" w14:textId="4C7EB801" w:rsidR="00B87E7F" w:rsidRPr="006431DC" w:rsidRDefault="000B7A88" w:rsidP="00A81175">
      <w:pPr>
        <w:pStyle w:val="Kontakt"/>
        <w:ind w:left="7230"/>
      </w:pPr>
      <w:r>
        <w:t>Comunicazioni Marketing</w:t>
      </w:r>
    </w:p>
    <w:p w14:paraId="4BE59E57" w14:textId="34A6AF6A" w:rsidR="00B87E7F" w:rsidRPr="006431DC" w:rsidRDefault="00B87E7F" w:rsidP="00A81175">
      <w:pPr>
        <w:pStyle w:val="Kontakt"/>
        <w:ind w:left="7230" w:right="-511"/>
      </w:pPr>
      <w:r>
        <w:t>Coperion K-Tron (Svizzera) LLC</w:t>
      </w:r>
    </w:p>
    <w:p w14:paraId="42F85A74" w14:textId="010CF662" w:rsidR="008609A9" w:rsidRPr="006431DC" w:rsidRDefault="00E24445" w:rsidP="000B7A88">
      <w:pPr>
        <w:pStyle w:val="Kontakt"/>
        <w:ind w:left="7230"/>
      </w:pPr>
      <w:proofErr w:type="spellStart"/>
      <w:r>
        <w:t>Lenzhardweg</w:t>
      </w:r>
      <w:proofErr w:type="spellEnd"/>
      <w:r>
        <w:t xml:space="preserve"> 43/45</w:t>
      </w:r>
    </w:p>
    <w:p w14:paraId="4CB2EEBA" w14:textId="5F1A8D8B" w:rsidR="00B87E7F" w:rsidRPr="006431DC" w:rsidRDefault="00E24445" w:rsidP="00A81175">
      <w:pPr>
        <w:pStyle w:val="Kontakt"/>
        <w:ind w:left="7230"/>
      </w:pPr>
      <w:r>
        <w:t xml:space="preserve">CH-5702 </w:t>
      </w:r>
      <w:proofErr w:type="spellStart"/>
      <w:r>
        <w:t>Niederlenz</w:t>
      </w:r>
      <w:proofErr w:type="spellEnd"/>
    </w:p>
    <w:p w14:paraId="077D4691" w14:textId="77777777" w:rsidR="00B87E7F" w:rsidRPr="006431DC" w:rsidRDefault="00B87E7F">
      <w:pPr>
        <w:pStyle w:val="Kontakt"/>
        <w:ind w:left="7230"/>
        <w:rPr>
          <w:lang w:val="de-CH"/>
        </w:rPr>
      </w:pPr>
    </w:p>
    <w:p w14:paraId="6C08D8DA" w14:textId="672DBFD6" w:rsidR="00B87E7F" w:rsidRPr="006431DC" w:rsidRDefault="00415C98" w:rsidP="00A81175">
      <w:pPr>
        <w:pStyle w:val="Kontakt"/>
        <w:ind w:left="7230"/>
      </w:pPr>
      <w:r>
        <w:t>Tel.: +41 62 885 7171</w:t>
      </w:r>
    </w:p>
    <w:p w14:paraId="2A741B88" w14:textId="6EDA47C5" w:rsidR="00B87E7F" w:rsidRPr="006431DC" w:rsidRDefault="00E24445" w:rsidP="00A81175">
      <w:pPr>
        <w:pStyle w:val="Kontakt"/>
        <w:ind w:left="7230" w:right="-186"/>
      </w:pPr>
      <w:r>
        <w:t>regula.sullivan@coperion.com</w:t>
      </w:r>
    </w:p>
    <w:p w14:paraId="4350FF75" w14:textId="77777777" w:rsidR="00B87E7F" w:rsidRPr="008406EE" w:rsidRDefault="00B87E7F" w:rsidP="00A81175">
      <w:pPr>
        <w:pStyle w:val="Kontakt"/>
        <w:ind w:left="7230"/>
      </w:pPr>
      <w:r>
        <w:t>www.coperion.com</w:t>
      </w:r>
    </w:p>
    <w:p w14:paraId="1564F72F" w14:textId="77777777" w:rsidR="00357A64" w:rsidRPr="006D7E54" w:rsidRDefault="00357A64" w:rsidP="00357A64">
      <w:pPr>
        <w:snapToGrid w:val="0"/>
        <w:spacing w:line="360" w:lineRule="auto"/>
        <w:ind w:left="-72"/>
        <w:rPr>
          <w:rFonts w:cs="Arial"/>
          <w:szCs w:val="22"/>
          <w:lang w:val="fr-FR"/>
        </w:rPr>
      </w:pPr>
    </w:p>
    <w:p w14:paraId="082C6823" w14:textId="121556B4" w:rsidR="00582CBF" w:rsidRPr="006D7E54" w:rsidRDefault="00582CBF" w:rsidP="000954FC">
      <w:pPr>
        <w:pStyle w:val="Pressemitteilung"/>
        <w:tabs>
          <w:tab w:val="left" w:pos="7200"/>
        </w:tabs>
        <w:rPr>
          <w:lang w:val="fr-FR"/>
        </w:rPr>
      </w:pPr>
    </w:p>
    <w:p w14:paraId="2A62F1B4" w14:textId="77777777" w:rsidR="00E6196B" w:rsidRPr="006431DC" w:rsidRDefault="00E6196B" w:rsidP="00E6196B">
      <w:pPr>
        <w:suppressAutoHyphens/>
        <w:spacing w:before="200"/>
        <w:rPr>
          <w:rFonts w:cs="Arial"/>
          <w:b/>
        </w:rPr>
      </w:pPr>
      <w:r>
        <w:rPr>
          <w:b/>
        </w:rPr>
        <w:t>Comunicato stampa</w:t>
      </w:r>
    </w:p>
    <w:p w14:paraId="30DF4A34" w14:textId="77777777" w:rsidR="00E6196B" w:rsidRPr="006D7E54" w:rsidRDefault="00E6196B" w:rsidP="00E6196B">
      <w:pPr>
        <w:suppressAutoHyphens/>
        <w:rPr>
          <w:rFonts w:cs="Arial"/>
          <w:lang w:val="fr-FR" w:eastAsia="ar-SA"/>
        </w:rPr>
      </w:pPr>
    </w:p>
    <w:p w14:paraId="42CF8E49" w14:textId="496A2F80" w:rsidR="006F68AA" w:rsidRPr="003A0511" w:rsidRDefault="006F68AA" w:rsidP="00582B7F">
      <w:pPr>
        <w:pStyle w:val="berschrift14p"/>
        <w:rPr>
          <w:bCs/>
          <w:sz w:val="22"/>
          <w:szCs w:val="22"/>
        </w:rPr>
      </w:pPr>
      <w:r>
        <w:rPr>
          <w:sz w:val="22"/>
        </w:rPr>
        <w:t xml:space="preserve">I dosatori </w:t>
      </w:r>
      <w:proofErr w:type="spellStart"/>
      <w:r>
        <w:rPr>
          <w:sz w:val="22"/>
        </w:rPr>
        <w:t>preconfigurati</w:t>
      </w:r>
      <w:proofErr w:type="spellEnd"/>
      <w:r>
        <w:rPr>
          <w:sz w:val="22"/>
        </w:rPr>
        <w:t xml:space="preserve"> offrono all’industria della plastica una soluzione di dosaggio potente ed efficace</w:t>
      </w:r>
    </w:p>
    <w:p w14:paraId="7998F0BB" w14:textId="5296E360" w:rsidR="00582B7F" w:rsidRDefault="00582B7F" w:rsidP="00582B7F">
      <w:pPr>
        <w:pStyle w:val="berschrift14p"/>
        <w:rPr>
          <w:bCs/>
          <w:szCs w:val="28"/>
        </w:rPr>
      </w:pPr>
      <w:r>
        <w:t>Coperion K-Tron annuncia la nuovissima linea di dosatori ProRate PLUS</w:t>
      </w:r>
    </w:p>
    <w:p w14:paraId="11894AF5" w14:textId="00EE1A0E" w:rsidR="006A53F5" w:rsidRPr="006D7E54" w:rsidRDefault="006A53F5" w:rsidP="003A0511">
      <w:pPr>
        <w:rPr>
          <w:lang w:val="fr-FR"/>
        </w:rPr>
      </w:pPr>
    </w:p>
    <w:p w14:paraId="7B581E4E" w14:textId="77777777" w:rsidR="00582B7F" w:rsidRPr="006D7E54" w:rsidRDefault="00582B7F" w:rsidP="00582B7F">
      <w:pPr>
        <w:suppressAutoHyphens/>
        <w:spacing w:line="360" w:lineRule="auto"/>
        <w:rPr>
          <w:rFonts w:cs="Arial"/>
          <w:i/>
          <w:szCs w:val="22"/>
          <w:lang w:val="fr-FR" w:eastAsia="ar-SA"/>
        </w:rPr>
      </w:pPr>
    </w:p>
    <w:p w14:paraId="7E8F9795" w14:textId="5A337709" w:rsidR="00582B7F" w:rsidRPr="003649B8" w:rsidRDefault="00582B7F" w:rsidP="00582B7F">
      <w:pPr>
        <w:suppressAutoHyphens/>
        <w:spacing w:after="240" w:line="360" w:lineRule="auto"/>
        <w:rPr>
          <w:rFonts w:cs="Arial"/>
          <w:szCs w:val="22"/>
        </w:rPr>
      </w:pPr>
      <w:proofErr w:type="spellStart"/>
      <w:r>
        <w:rPr>
          <w:i/>
        </w:rPr>
        <w:t>Niederlenz</w:t>
      </w:r>
      <w:proofErr w:type="spellEnd"/>
      <w:r>
        <w:rPr>
          <w:i/>
        </w:rPr>
        <w:t>, Svizzera (gennaio 2022)</w:t>
      </w:r>
      <w:r>
        <w:t xml:space="preserve"> - Coperion K-Tron è lieta di annunciare l’espansione della gamma di dosatori ProRate™ con una linea completamente nuova ed economicamente vantaggiosa: ProRate PLUS. Rispondendo alla richiesta del mercato di un dosatore resistente e affidabile per semplici applicazioni di dosaggio nell’industria della plastica, Coperion K-Tron ha sviluppato una linea di dosatori completamente nuova, basata su 100 anni di esperienza nel settore. La linea di dosatori gravimetrici continui ProRate PLUS rappresenta una soluzione economica, che offre un rapido ritorno sull’investimento grazie al buon rapporto qualità-prezzo e ai tempi di consegna veloci. È stata progettata tenendo conto delle esigenze specifiche dell’industria della lavorazione della plastica; questi dosatori </w:t>
      </w:r>
      <w:proofErr w:type="spellStart"/>
      <w:r>
        <w:t>monovite</w:t>
      </w:r>
      <w:proofErr w:type="spellEnd"/>
      <w:r>
        <w:t xml:space="preserve"> sono ideali per il dosaggio di pellet, granuli e altri materiali </w:t>
      </w:r>
      <w:r w:rsidR="00D96F52">
        <w:t>scorrevoli</w:t>
      </w:r>
      <w:r>
        <w:t xml:space="preserve"> in applicazioni </w:t>
      </w:r>
      <w:r w:rsidR="00C428AF">
        <w:t>inerenti alla</w:t>
      </w:r>
      <w:r w:rsidR="00D96F52">
        <w:t xml:space="preserve"> plastica secondaria</w:t>
      </w:r>
      <w:r>
        <w:t xml:space="preserve">. I dosatori ProRate PLUS sono disponibili in tre dimensioni e possono essere installati come unità individuali o facilmente combinati in gruppi di massimo sei unità a un ingresso di alimentazione, a seconda della formulazione della ricetta. </w:t>
      </w:r>
    </w:p>
    <w:p w14:paraId="65B73C11" w14:textId="6EC336D4" w:rsidR="00582B7F" w:rsidRDefault="00582B7F" w:rsidP="00582B7F">
      <w:pPr>
        <w:suppressAutoHyphens/>
        <w:spacing w:after="240" w:line="360" w:lineRule="auto"/>
        <w:rPr>
          <w:rFonts w:cs="Arial"/>
          <w:szCs w:val="22"/>
        </w:rPr>
      </w:pPr>
      <w:r>
        <w:t xml:space="preserve">La linea di dosatori ProRate PLUS è caratterizzata da un design esclusivo, che consente una configurazione compatta e poco ingombrante. La forma trapezoidale dei dosatori ProRate Plus permette di raggruppare facilmente fino a sei unità intorno </w:t>
      </w:r>
      <w:r w:rsidR="00D96F52">
        <w:t xml:space="preserve">alla bocca di ingresso </w:t>
      </w:r>
      <w:r>
        <w:t xml:space="preserve">di un estrusore in un raggio di 1,5 metri. I tre modelli di dosatori PLUS-S, PLUS-M e PLUS-L coprono un’ampia </w:t>
      </w:r>
      <w:r>
        <w:lastRenderedPageBreak/>
        <w:t xml:space="preserve">gamma di prestazioni. I dosatori ProRate PLUS sono in grado di gestire </w:t>
      </w:r>
      <w:r w:rsidR="00FA46F2">
        <w:t>portate</w:t>
      </w:r>
      <w:r>
        <w:t xml:space="preserve"> da 3,3 fino a 4800 dm</w:t>
      </w:r>
      <w:r>
        <w:rPr>
          <w:vertAlign w:val="superscript"/>
        </w:rPr>
        <w:t>3</w:t>
      </w:r>
      <w:r>
        <w:t xml:space="preserve">/h, a seconda del materiale. </w:t>
      </w:r>
      <w:r w:rsidR="00FA46F2">
        <w:t>Teoricamente</w:t>
      </w:r>
      <w:r>
        <w:t xml:space="preserve"> un sistema di dosaggio con sei dosatori ProRate PLUS-L può</w:t>
      </w:r>
      <w:r w:rsidR="00FA46F2">
        <w:t xml:space="preserve"> quindi dosare</w:t>
      </w:r>
      <w:r>
        <w:t xml:space="preserve"> fino a 28,8 m</w:t>
      </w:r>
      <w:r>
        <w:rPr>
          <w:vertAlign w:val="superscript"/>
        </w:rPr>
        <w:t>3</w:t>
      </w:r>
      <w:r>
        <w:t>/h su un ingombro di soli 7 m</w:t>
      </w:r>
      <w:r>
        <w:rPr>
          <w:vertAlign w:val="superscript"/>
        </w:rPr>
        <w:t>2</w:t>
      </w:r>
      <w:r>
        <w:t>.</w:t>
      </w:r>
    </w:p>
    <w:p w14:paraId="41884BA4" w14:textId="521B4732" w:rsidR="00582B7F" w:rsidRDefault="00582B7F" w:rsidP="00582B7F">
      <w:pPr>
        <w:suppressAutoHyphens/>
        <w:spacing w:line="360" w:lineRule="auto"/>
        <w:rPr>
          <w:rFonts w:cs="Arial"/>
          <w:szCs w:val="22"/>
        </w:rPr>
      </w:pPr>
      <w:r>
        <w:t>I dosatori ProRate sono altamente standardizzati e presentano una varietà di caratteristiche di progettazione per ottimizzare prestazioni e praticità. Il facile accesso per la pulizia e la manutenzione, anche all’interno di un cluster, è reso possibile grazie a un sistema di guide</w:t>
      </w:r>
      <w:r w:rsidR="00FA46F2">
        <w:t xml:space="preserve"> in attesa di ottenere il </w:t>
      </w:r>
      <w:r>
        <w:t>brevetto “</w:t>
      </w:r>
      <w:proofErr w:type="spellStart"/>
      <w:r>
        <w:t>ProClean</w:t>
      </w:r>
      <w:proofErr w:type="spellEnd"/>
      <w:r>
        <w:t xml:space="preserve"> </w:t>
      </w:r>
      <w:proofErr w:type="spellStart"/>
      <w:r>
        <w:t>Rail</w:t>
      </w:r>
      <w:proofErr w:type="spellEnd"/>
      <w:r>
        <w:t xml:space="preserve">”. </w:t>
      </w:r>
      <w:proofErr w:type="spellStart"/>
      <w:r>
        <w:t>ProClean</w:t>
      </w:r>
      <w:proofErr w:type="spellEnd"/>
      <w:r>
        <w:t xml:space="preserve"> </w:t>
      </w:r>
      <w:proofErr w:type="spellStart"/>
      <w:r>
        <w:t>Rail</w:t>
      </w:r>
      <w:proofErr w:type="spellEnd"/>
      <w:r>
        <w:t xml:space="preserve"> consente di ritrarre l’unità di base verso la parte posteriore del dosatore e di ruotarla per accedere alla sezione di alimentazione e all’elemento a vite, consentendo la manutenzione e la pulizia dell’unità mantenendo il dosatore in posizione. Inoltre, il soffietto e la vite utilizzano la più recente tecnologia magnetica per un montaggio semplice e resistente. Le connessioni magnetiche permettono di sbloccare questi elementi senza l’uso di attrezzi e forniscono al contempo la forza di tenuta necessaria per un funzionamento ottimale e sicuro. Grazie all’elevato livello di standardizzazione dei dosatori, il numero di pezzi di ricambio necessari per le scorte di emergenza è minimo. Molte parti sono identiche per tutti e tre i modelli e possono essere utilizzate come parti di ricambio per tutti i dispositivi.</w:t>
      </w:r>
    </w:p>
    <w:p w14:paraId="24CAA8E6" w14:textId="77777777" w:rsidR="00582B7F" w:rsidRPr="006D7E54" w:rsidRDefault="00582B7F" w:rsidP="00582B7F">
      <w:pPr>
        <w:suppressAutoHyphens/>
        <w:spacing w:line="360" w:lineRule="auto"/>
        <w:rPr>
          <w:rFonts w:cs="Arial"/>
          <w:szCs w:val="22"/>
          <w:lang w:eastAsia="ar-SA"/>
        </w:rPr>
      </w:pPr>
    </w:p>
    <w:p w14:paraId="0DBE3CA0" w14:textId="50FD6AFE" w:rsidR="00582B7F" w:rsidRDefault="00582B7F" w:rsidP="00582B7F">
      <w:pPr>
        <w:suppressAutoHyphens/>
        <w:spacing w:line="360" w:lineRule="auto"/>
        <w:rPr>
          <w:rFonts w:cs="Arial"/>
          <w:szCs w:val="22"/>
        </w:rPr>
      </w:pPr>
      <w:r>
        <w:t xml:space="preserve">I dosatori ProRate PLUS sono adatti all’uso in aree pericolose di Classe II (NEC), </w:t>
      </w:r>
      <w:proofErr w:type="spellStart"/>
      <w:r>
        <w:t>Div</w:t>
      </w:r>
      <w:proofErr w:type="spellEnd"/>
      <w:r>
        <w:t>. 2, Gruppo F e G, e ATEX 3D/3D (interno/esterno).</w:t>
      </w:r>
    </w:p>
    <w:p w14:paraId="56287B06" w14:textId="01476B8F" w:rsidR="00582B7F" w:rsidRPr="006D7E54" w:rsidRDefault="00582B7F" w:rsidP="00582B7F">
      <w:pPr>
        <w:suppressAutoHyphens/>
        <w:spacing w:line="360" w:lineRule="auto"/>
        <w:rPr>
          <w:rFonts w:cs="Arial"/>
          <w:szCs w:val="22"/>
          <w:lang w:eastAsia="ar-SA"/>
        </w:rPr>
      </w:pPr>
    </w:p>
    <w:p w14:paraId="2BF6096B" w14:textId="70BAA182" w:rsidR="006F68AA" w:rsidRPr="003A0511" w:rsidRDefault="006F68AA" w:rsidP="00582B7F">
      <w:pPr>
        <w:suppressAutoHyphens/>
        <w:spacing w:line="360" w:lineRule="auto"/>
        <w:rPr>
          <w:rFonts w:cs="Arial"/>
          <w:b/>
          <w:bCs/>
          <w:szCs w:val="22"/>
        </w:rPr>
      </w:pPr>
      <w:r>
        <w:rPr>
          <w:b/>
        </w:rPr>
        <w:t>Misurazione accurata del peso e moduli di controllo affidabili, per un funzionamento efficiente</w:t>
      </w:r>
    </w:p>
    <w:p w14:paraId="6A047828" w14:textId="65F48F1F" w:rsidR="00582B7F" w:rsidRDefault="00582B7F" w:rsidP="00582B7F">
      <w:pPr>
        <w:suppressAutoHyphens/>
        <w:spacing w:line="360" w:lineRule="auto"/>
        <w:rPr>
          <w:rFonts w:cs="Arial"/>
          <w:szCs w:val="22"/>
        </w:rPr>
      </w:pPr>
      <w:r>
        <w:t xml:space="preserve">Tutti i dosatori ProRate PLUS sono dotati di celle di carico P-SFT, con tecnologia di pesatura Smart Force </w:t>
      </w:r>
      <w:proofErr w:type="spellStart"/>
      <w:r>
        <w:t>Transducer</w:t>
      </w:r>
      <w:proofErr w:type="spellEnd"/>
      <w:r>
        <w:t xml:space="preserve"> ad alta precisione; funzionano a compressione e forniscono una misurazione digitale del peso accurata, stabile e precisa in molte condizioni operative diverse. Le celle di carico forniscono un segnale di pesatura digitale diretto e il </w:t>
      </w:r>
      <w:proofErr w:type="spellStart"/>
      <w:r>
        <w:t>microcontroller</w:t>
      </w:r>
      <w:proofErr w:type="spellEnd"/>
      <w:r>
        <w:t xml:space="preserve"> integrato assicura un’eccellente ripetibilità e stabilità. Le celle di carico P-SFT presentano un’alta tolleranza alle vibrazioni e al rumore elettrico, e sono dotate di una protezione integrata contro il sovraccarico e il </w:t>
      </w:r>
      <w:proofErr w:type="spellStart"/>
      <w:r>
        <w:t>sottocarico</w:t>
      </w:r>
      <w:proofErr w:type="spellEnd"/>
      <w:r>
        <w:t>.</w:t>
      </w:r>
    </w:p>
    <w:p w14:paraId="488294B6" w14:textId="77777777" w:rsidR="00582B7F" w:rsidRPr="006D7E54" w:rsidRDefault="00582B7F" w:rsidP="00582B7F">
      <w:pPr>
        <w:suppressAutoHyphens/>
        <w:spacing w:line="360" w:lineRule="auto"/>
        <w:rPr>
          <w:rFonts w:cs="Arial"/>
          <w:szCs w:val="22"/>
          <w:lang w:eastAsia="ar-SA"/>
        </w:rPr>
      </w:pPr>
    </w:p>
    <w:p w14:paraId="548FDF76" w14:textId="6F41F5D3" w:rsidR="00582B7F" w:rsidRDefault="00582B7F" w:rsidP="00582B7F">
      <w:pPr>
        <w:suppressAutoHyphens/>
        <w:spacing w:line="360" w:lineRule="auto"/>
        <w:rPr>
          <w:rFonts w:cs="Arial"/>
          <w:szCs w:val="22"/>
        </w:rPr>
      </w:pPr>
      <w:r>
        <w:lastRenderedPageBreak/>
        <w:t xml:space="preserve">Ogni dosatore è dotato di un proprio modulo di controllo ProRate PLUS PCM </w:t>
      </w:r>
      <w:proofErr w:type="spellStart"/>
      <w:r>
        <w:t>precablato</w:t>
      </w:r>
      <w:proofErr w:type="spellEnd"/>
      <w:r>
        <w:t xml:space="preserve"> montato sul supporto del dosatore, con posizionamento regolabile in altezza. Ogni PCM è </w:t>
      </w:r>
      <w:proofErr w:type="spellStart"/>
      <w:proofErr w:type="gramStart"/>
      <w:r>
        <w:t>pre</w:t>
      </w:r>
      <w:proofErr w:type="spellEnd"/>
      <w:r>
        <w:t>-testato</w:t>
      </w:r>
      <w:proofErr w:type="gramEnd"/>
      <w:r>
        <w:t xml:space="preserve"> nello stabilimento di produzione di Coperion K-Tron prima della spedizione. È possibile scegliere fra due modelli di PCM disponibili: un’unità di controllo motore di base (PCM-MD) o una versione avanzata con interfaccia utente integrata e funzionalità di controllo della linea (PCM-KD). In un gruppo che comprende fino a otto dosatori, è necessario che uno di essi sia equipaggiato con PCM-KD, mentre il PCM-MD sarà sufficiente per gli altri dosatori.</w:t>
      </w:r>
    </w:p>
    <w:p w14:paraId="2E7C8770" w14:textId="77777777" w:rsidR="00582B7F" w:rsidRPr="006D7E54" w:rsidRDefault="00582B7F" w:rsidP="00582B7F">
      <w:pPr>
        <w:suppressAutoHyphens/>
        <w:spacing w:line="360" w:lineRule="auto"/>
        <w:rPr>
          <w:rFonts w:cs="Arial"/>
          <w:szCs w:val="22"/>
          <w:lang w:eastAsia="ar-SA"/>
        </w:rPr>
      </w:pPr>
    </w:p>
    <w:p w14:paraId="7A6497CB" w14:textId="21D90F92" w:rsidR="00582B7F" w:rsidRDefault="00582B7F" w:rsidP="003A0511">
      <w:pPr>
        <w:suppressAutoHyphens/>
        <w:spacing w:after="240" w:line="360" w:lineRule="auto"/>
        <w:rPr>
          <w:rFonts w:cs="Arial"/>
          <w:szCs w:val="22"/>
        </w:rPr>
      </w:pPr>
      <w:r>
        <w:t xml:space="preserve">Il PCM-KD viene fornito con il software completo di cui il dosatore ProRate PLUS avrà bisogno per applicazioni continue, e supporta tutti e tre i modelli di dosatore. La connessione tra i dosatori, l’interfaccia utente e gli I/O intelligenti avviene attraverso una </w:t>
      </w:r>
      <w:proofErr w:type="gramStart"/>
      <w:r>
        <w:t>rete</w:t>
      </w:r>
      <w:r w:rsidR="00BE155C">
        <w:t xml:space="preserve"> </w:t>
      </w:r>
      <w:r>
        <w:t xml:space="preserve"> industriale</w:t>
      </w:r>
      <w:proofErr w:type="gramEnd"/>
      <w:r>
        <w:t xml:space="preserve">. Tutte le funzioni di configurazione del motore, diagnostica e interfaccia operatore sono integrate nell’interfaccia utente PCM-KD. Il PCM-KD è dotato di una porta di comunicazione </w:t>
      </w:r>
      <w:proofErr w:type="spellStart"/>
      <w:r>
        <w:t>host</w:t>
      </w:r>
      <w:proofErr w:type="spellEnd"/>
      <w:r>
        <w:t xml:space="preserve"> (Ethernet IP o </w:t>
      </w:r>
      <w:proofErr w:type="spellStart"/>
      <w:r>
        <w:t>Profinet</w:t>
      </w:r>
      <w:proofErr w:type="spellEnd"/>
      <w:r>
        <w:t>).</w:t>
      </w:r>
    </w:p>
    <w:p w14:paraId="25EAED9F" w14:textId="77777777" w:rsidR="003A0511" w:rsidRDefault="006F68AA" w:rsidP="00291EF9">
      <w:pPr>
        <w:suppressAutoHyphens/>
        <w:spacing w:after="240" w:line="360" w:lineRule="auto"/>
        <w:rPr>
          <w:rFonts w:cs="Arial"/>
          <w:b/>
          <w:bCs/>
          <w:szCs w:val="22"/>
        </w:rPr>
      </w:pPr>
      <w:r>
        <w:rPr>
          <w:b/>
        </w:rPr>
        <w:t xml:space="preserve">Grande varietà di servizi offerti per il corretto funzionamento di tutti i processi   </w:t>
      </w:r>
      <w:bookmarkStart w:id="0" w:name="_Hlk92380623"/>
    </w:p>
    <w:p w14:paraId="2ACDC151" w14:textId="36D5B5A0" w:rsidR="00291EF9" w:rsidRDefault="00291EF9" w:rsidP="00291EF9">
      <w:pPr>
        <w:suppressAutoHyphens/>
        <w:spacing w:after="240" w:line="360" w:lineRule="auto"/>
        <w:rPr>
          <w:rFonts w:cs="Arial"/>
          <w:szCs w:val="22"/>
        </w:rPr>
      </w:pPr>
      <w:r>
        <w:t>La soddisfazione del cliente è la priorità per Coperion K-Tron ed è per questo che l’azienda ha creato un nuovo ed esclusivo portafoglio di servizi offerti per il lancio di questa linea di prodotti. Una grande varietà di pacchetti per avviamento e assistenza è disponibile per i dosatori ProRate PLUS, per garantire che ogni cliente possa ottenere esattamente il livello di servizio di cui ha bisogno. Per ProRate PLUS Coperion K-Tron offre anche servizi da remoto, facili e veloci: un portale online, un servizio di assistenza telefonica 24/24 ore e persino assistenza all’avviamento da remoto; tecnici qualificati dedicati all’assistenza sono disponibili per garantire il corretto funzionamento dei sistemi in tutto il mondo.</w:t>
      </w:r>
    </w:p>
    <w:bookmarkEnd w:id="0"/>
    <w:p w14:paraId="00204B39" w14:textId="77777777" w:rsidR="00582B7F" w:rsidRDefault="00582B7F" w:rsidP="00582B7F">
      <w:pPr>
        <w:suppressAutoHyphens/>
        <w:spacing w:line="360" w:lineRule="auto"/>
        <w:rPr>
          <w:rFonts w:cs="Arial"/>
          <w:szCs w:val="22"/>
        </w:rPr>
      </w:pPr>
      <w:r>
        <w:t>La nuovissima linea di dosatori ProRate PLUS offre quindi una soluzione semplice, resistente e affidabile per il dosaggio di un’ampia varietà di materiali sfusi a flusso libero nelle applicazioni di lavorazione della plastica.</w:t>
      </w:r>
    </w:p>
    <w:p w14:paraId="438ECD49" w14:textId="77777777" w:rsidR="0077467F" w:rsidRPr="006D7E54" w:rsidRDefault="0077467F" w:rsidP="00E6196B">
      <w:pPr>
        <w:spacing w:line="360" w:lineRule="auto"/>
        <w:rPr>
          <w:rFonts w:cs="Arial"/>
          <w:szCs w:val="22"/>
          <w:lang w:eastAsia="ar-SA"/>
        </w:rPr>
      </w:pPr>
    </w:p>
    <w:p w14:paraId="278AD998" w14:textId="77777777" w:rsidR="00AF3253" w:rsidRPr="006D7E54" w:rsidRDefault="00AF3253" w:rsidP="00AF3253">
      <w:pPr>
        <w:spacing w:line="360" w:lineRule="auto"/>
        <w:rPr>
          <w:rFonts w:cs="Arial"/>
          <w:i/>
          <w:szCs w:val="22"/>
          <w:lang w:eastAsia="ar-SA"/>
        </w:rPr>
      </w:pPr>
    </w:p>
    <w:p w14:paraId="54DB6C2C" w14:textId="77777777" w:rsidR="004510B3" w:rsidRDefault="004510B3" w:rsidP="00097B71">
      <w:pPr>
        <w:rPr>
          <w:sz w:val="20"/>
        </w:rPr>
      </w:pPr>
    </w:p>
    <w:p w14:paraId="5911346E" w14:textId="77777777" w:rsidR="004510B3" w:rsidRDefault="004510B3" w:rsidP="00097B71">
      <w:pPr>
        <w:rPr>
          <w:sz w:val="20"/>
        </w:rPr>
      </w:pPr>
    </w:p>
    <w:p w14:paraId="1824EBA9" w14:textId="6FFBB7E9" w:rsidR="00097B71" w:rsidRPr="00EB3DC0" w:rsidRDefault="00EB3DC0" w:rsidP="00097B71">
      <w:pPr>
        <w:rPr>
          <w:sz w:val="20"/>
        </w:rPr>
      </w:pPr>
      <w:r w:rsidRPr="002C3FA5">
        <w:rPr>
          <w:sz w:val="20"/>
        </w:rPr>
        <w:lastRenderedPageBreak/>
        <w:t>Coperion (</w:t>
      </w:r>
      <w:hyperlink r:id="rId8" w:history="1">
        <w:r w:rsidRPr="002C3FA5">
          <w:rPr>
            <w:sz w:val="20"/>
          </w:rPr>
          <w:t>www.coperion.com</w:t>
        </w:r>
      </w:hyperlink>
      <w:r w:rsidRPr="002C3FA5">
        <w:rPr>
          <w:sz w:val="20"/>
        </w:rPr>
        <w:t xml:space="preserve">) è il leader tecnologico e di mercato a livello mondiale nel settore dei sistemi di </w:t>
      </w:r>
      <w:proofErr w:type="spellStart"/>
      <w:r w:rsidRPr="002C3FA5">
        <w:rPr>
          <w:sz w:val="20"/>
        </w:rPr>
        <w:t>compoundazione</w:t>
      </w:r>
      <w:proofErr w:type="spellEnd"/>
      <w:r w:rsidRPr="002C3FA5">
        <w:rPr>
          <w:sz w:val="20"/>
        </w:rPr>
        <w:t xml:space="preserve">, dosaggio, trasporto di materiali sfusi e servizi. Coperion sviluppa, realizza e fornisce assistenza per impianti, macchine e componenti per l'industria plastica, chimica, farmaceutica, alimentare e della lavorazione dei minerali. Coperion impiega 2.500 collaboratori a livello mondiale nelle sue </w:t>
      </w:r>
      <w:r>
        <w:rPr>
          <w:sz w:val="20"/>
        </w:rPr>
        <w:t>due</w:t>
      </w:r>
      <w:r w:rsidRPr="002C3FA5">
        <w:rPr>
          <w:sz w:val="20"/>
        </w:rPr>
        <w:t xml:space="preserve"> divisioni </w:t>
      </w:r>
      <w:proofErr w:type="spellStart"/>
      <w:r w:rsidRPr="002C3FA5">
        <w:rPr>
          <w:sz w:val="20"/>
        </w:rPr>
        <w:t>Polymer</w:t>
      </w:r>
      <w:proofErr w:type="spellEnd"/>
      <w:r>
        <w:rPr>
          <w:sz w:val="20"/>
        </w:rPr>
        <w:t xml:space="preserve"> e</w:t>
      </w:r>
      <w:r w:rsidRPr="002C3FA5">
        <w:rPr>
          <w:sz w:val="20"/>
        </w:rPr>
        <w:t xml:space="preserve"> </w:t>
      </w:r>
      <w:r w:rsidRPr="00736C7B">
        <w:rPr>
          <w:sz w:val="20"/>
        </w:rPr>
        <w:t xml:space="preserve">et Strategic </w:t>
      </w:r>
      <w:proofErr w:type="spellStart"/>
      <w:r w:rsidRPr="00736C7B">
        <w:rPr>
          <w:sz w:val="20"/>
        </w:rPr>
        <w:t>Markets</w:t>
      </w:r>
      <w:proofErr w:type="spellEnd"/>
      <w:r w:rsidRPr="00736C7B">
        <w:rPr>
          <w:sz w:val="20"/>
        </w:rPr>
        <w:t xml:space="preserve"> / Aftermarket Sales and Service</w:t>
      </w:r>
      <w:r w:rsidRPr="002C3FA5">
        <w:rPr>
          <w:sz w:val="20"/>
        </w:rPr>
        <w:t xml:space="preserve">, e nelle sue 30 società di distribuzione e assistenza. </w:t>
      </w:r>
      <w:r w:rsidRPr="006C0522">
        <w:rPr>
          <w:sz w:val="20"/>
        </w:rPr>
        <w:t>Coperion K-Tron è un marchio di Coperion</w:t>
      </w:r>
      <w:bookmarkStart w:id="1" w:name="_GoBack"/>
      <w:bookmarkEnd w:id="1"/>
      <w:r w:rsidR="00097B71">
        <w:rPr>
          <w:sz w:val="20"/>
        </w:rPr>
        <w:t xml:space="preserve">. </w:t>
      </w:r>
    </w:p>
    <w:p w14:paraId="795DBD19" w14:textId="4C52FEA1" w:rsidR="000E7F48" w:rsidRPr="00582B7F" w:rsidRDefault="000E7F48" w:rsidP="00AF3253">
      <w:pPr>
        <w:pStyle w:val="Trennung"/>
        <w:spacing w:before="480" w:after="480"/>
        <w:rPr>
          <w:color w:val="auto"/>
        </w:rPr>
      </w:pPr>
      <w:r>
        <w:rPr>
          <w:rFonts w:ascii="Arial Unicode MS" w:hAnsi="Arial Unicode MS"/>
          <w:color w:val="auto"/>
        </w:rPr>
        <w:t>⌘⌘⌘</w:t>
      </w:r>
    </w:p>
    <w:p w14:paraId="06ABB16A" w14:textId="531FC747" w:rsidR="00AF3253" w:rsidRDefault="00AF3253" w:rsidP="00CD157C">
      <w:pPr>
        <w:pStyle w:val="Konsens"/>
        <w:spacing w:before="120" w:line="360" w:lineRule="auto"/>
        <w:ind w:left="0"/>
        <w:rPr>
          <w:i/>
          <w:szCs w:val="22"/>
          <w:lang w:val="de-CH"/>
        </w:rPr>
      </w:pPr>
    </w:p>
    <w:p w14:paraId="052CE209" w14:textId="77777777" w:rsidR="00097B71" w:rsidRPr="00097B71" w:rsidRDefault="00097B71" w:rsidP="00CD157C">
      <w:pPr>
        <w:pStyle w:val="Konsens"/>
        <w:spacing w:before="120" w:line="360" w:lineRule="auto"/>
        <w:ind w:left="0"/>
        <w:rPr>
          <w:i/>
          <w:szCs w:val="22"/>
          <w:lang w:val="de-CH"/>
        </w:rPr>
      </w:pPr>
    </w:p>
    <w:p w14:paraId="790525CA" w14:textId="77777777" w:rsidR="003A0511" w:rsidRDefault="003A0511" w:rsidP="00CD157C">
      <w:pPr>
        <w:pStyle w:val="Konsens"/>
        <w:spacing w:before="120" w:line="360" w:lineRule="auto"/>
        <w:ind w:left="0"/>
        <w:rPr>
          <w:i/>
          <w:szCs w:val="22"/>
        </w:rPr>
      </w:pPr>
      <w:r>
        <w:rPr>
          <w:noProof/>
        </w:rPr>
        <w:drawing>
          <wp:inline distT="0" distB="0" distL="0" distR="0" wp14:anchorId="09100F0D" wp14:editId="4FB12A58">
            <wp:extent cx="3619500" cy="27130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41014" cy="2729154"/>
                    </a:xfrm>
                    <a:prstGeom prst="rect">
                      <a:avLst/>
                    </a:prstGeom>
                    <a:noFill/>
                    <a:ln>
                      <a:noFill/>
                    </a:ln>
                  </pic:spPr>
                </pic:pic>
              </a:graphicData>
            </a:graphic>
          </wp:inline>
        </w:drawing>
      </w:r>
    </w:p>
    <w:p w14:paraId="264BF9B0" w14:textId="5A2B29C0" w:rsidR="00CD157C" w:rsidRPr="003A0511" w:rsidRDefault="003A0511" w:rsidP="00CD157C">
      <w:pPr>
        <w:pStyle w:val="Konsens"/>
        <w:spacing w:before="120" w:line="360" w:lineRule="auto"/>
        <w:ind w:left="0"/>
        <w:rPr>
          <w:i/>
          <w:szCs w:val="22"/>
        </w:rPr>
      </w:pPr>
      <w:r>
        <w:rPr>
          <w:i/>
        </w:rPr>
        <w:t xml:space="preserve">I dosatori gravimetrici continui </w:t>
      </w:r>
      <w:proofErr w:type="spellStart"/>
      <w:r>
        <w:rPr>
          <w:i/>
        </w:rPr>
        <w:t>monovite</w:t>
      </w:r>
      <w:proofErr w:type="spellEnd"/>
      <w:r>
        <w:rPr>
          <w:i/>
        </w:rPr>
        <w:t xml:space="preserve"> ProRate PLUS sono ideali per il dosaggio di pellet, granuli e altri materiali </w:t>
      </w:r>
      <w:r w:rsidR="00C428AF">
        <w:rPr>
          <w:i/>
        </w:rPr>
        <w:t>scorrevoli</w:t>
      </w:r>
      <w:r>
        <w:rPr>
          <w:i/>
        </w:rPr>
        <w:t xml:space="preserve"> in applicazioni </w:t>
      </w:r>
      <w:r w:rsidR="00C428AF">
        <w:rPr>
          <w:i/>
        </w:rPr>
        <w:t>inerenti alla plastica secondaria</w:t>
      </w:r>
      <w:r>
        <w:rPr>
          <w:i/>
        </w:rPr>
        <w:t>.</w:t>
      </w:r>
    </w:p>
    <w:p w14:paraId="57785445" w14:textId="731A7BB9" w:rsidR="00AF3253" w:rsidRDefault="00E24445" w:rsidP="00E24445">
      <w:pPr>
        <w:pStyle w:val="Konsens"/>
        <w:spacing w:before="120"/>
        <w:ind w:left="0"/>
        <w:rPr>
          <w:i/>
          <w:szCs w:val="22"/>
        </w:rPr>
      </w:pPr>
      <w:r>
        <w:rPr>
          <w:i/>
        </w:rPr>
        <w:t xml:space="preserve">Immagine: Coperion K-Tron, </w:t>
      </w:r>
      <w:proofErr w:type="spellStart"/>
      <w:r>
        <w:rPr>
          <w:i/>
        </w:rPr>
        <w:t>Niederlenz</w:t>
      </w:r>
      <w:proofErr w:type="spellEnd"/>
      <w:r>
        <w:rPr>
          <w:i/>
        </w:rPr>
        <w:t>, Svizzera</w:t>
      </w:r>
    </w:p>
    <w:p w14:paraId="5A0961BD" w14:textId="77777777" w:rsidR="009F3DB6" w:rsidRPr="006431DC" w:rsidRDefault="009F3DB6" w:rsidP="00E24445">
      <w:pPr>
        <w:pStyle w:val="Konsens"/>
        <w:spacing w:before="120"/>
        <w:ind w:left="0"/>
        <w:rPr>
          <w:i/>
          <w:szCs w:val="22"/>
        </w:rPr>
      </w:pPr>
    </w:p>
    <w:p w14:paraId="51A36C88" w14:textId="1903DBAD" w:rsidR="00190BDE" w:rsidRPr="006431DC" w:rsidRDefault="003A0511" w:rsidP="005A3603">
      <w:pPr>
        <w:pStyle w:val="Konsens"/>
        <w:spacing w:before="120"/>
        <w:ind w:left="0"/>
        <w:rPr>
          <w:i/>
          <w:szCs w:val="22"/>
        </w:rPr>
      </w:pPr>
      <w:r>
        <w:rPr>
          <w:i/>
          <w:noProof/>
        </w:rPr>
        <w:lastRenderedPageBreak/>
        <w:drawing>
          <wp:inline distT="0" distB="0" distL="0" distR="0" wp14:anchorId="440F4610" wp14:editId="0FC98DAE">
            <wp:extent cx="3667125" cy="27487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82666" cy="2760376"/>
                    </a:xfrm>
                    <a:prstGeom prst="rect">
                      <a:avLst/>
                    </a:prstGeom>
                    <a:noFill/>
                    <a:ln>
                      <a:noFill/>
                    </a:ln>
                  </pic:spPr>
                </pic:pic>
              </a:graphicData>
            </a:graphic>
          </wp:inline>
        </w:drawing>
      </w:r>
    </w:p>
    <w:p w14:paraId="5B6DECB9" w14:textId="4A5E8784" w:rsidR="005A3603" w:rsidRPr="003A0511" w:rsidRDefault="003A0511" w:rsidP="006431DC">
      <w:pPr>
        <w:pStyle w:val="Konsens"/>
        <w:spacing w:before="120" w:line="360" w:lineRule="auto"/>
        <w:ind w:left="0"/>
        <w:rPr>
          <w:i/>
          <w:szCs w:val="22"/>
        </w:rPr>
      </w:pPr>
      <w:r>
        <w:rPr>
          <w:i/>
        </w:rPr>
        <w:t>I dosatori ProRate PLUS possono essere installati come unità individuali o facilmente combinati in gruppi di massimo sei unità intorno a un ingresso di alimentazione, a seconda della formulazione della ricetta.</w:t>
      </w:r>
    </w:p>
    <w:p w14:paraId="7F6ACDA1" w14:textId="231F5DBC" w:rsidR="00190BDE" w:rsidRPr="006431DC" w:rsidRDefault="00AF3253" w:rsidP="00AF3253">
      <w:pPr>
        <w:pStyle w:val="Konsens"/>
        <w:spacing w:before="120"/>
        <w:ind w:left="0"/>
        <w:rPr>
          <w:i/>
          <w:szCs w:val="22"/>
        </w:rPr>
      </w:pPr>
      <w:r>
        <w:rPr>
          <w:i/>
        </w:rPr>
        <w:t xml:space="preserve">Immagine: Coperion K-Tron, </w:t>
      </w:r>
      <w:proofErr w:type="spellStart"/>
      <w:r>
        <w:rPr>
          <w:i/>
        </w:rPr>
        <w:t>Niederlenz</w:t>
      </w:r>
      <w:proofErr w:type="spellEnd"/>
      <w:r>
        <w:rPr>
          <w:i/>
        </w:rPr>
        <w:t>, Svizzera</w:t>
      </w:r>
    </w:p>
    <w:sectPr w:rsidR="00190BDE" w:rsidRPr="006431DC" w:rsidSect="00582CBF">
      <w:headerReference w:type="default" r:id="rId11"/>
      <w:footerReference w:type="default" r:id="rId12"/>
      <w:headerReference w:type="first" r:id="rId13"/>
      <w:footerReference w:type="first" r:id="rId14"/>
      <w:type w:val="continuous"/>
      <w:pgSz w:w="11906" w:h="16838" w:code="9"/>
      <w:pgMar w:top="3055" w:right="1134" w:bottom="1560" w:left="1418" w:header="77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B13B3" w14:textId="77777777" w:rsidR="00026BCA" w:rsidRDefault="00026BCA">
      <w:r>
        <w:separator/>
      </w:r>
    </w:p>
  </w:endnote>
  <w:endnote w:type="continuationSeparator" w:id="0">
    <w:p w14:paraId="46F80B58" w14:textId="77777777" w:rsidR="00026BCA" w:rsidRDefault="0002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07" w:type="dxa"/>
      <w:tblLayout w:type="fixed"/>
      <w:tblCellMar>
        <w:left w:w="70" w:type="dxa"/>
        <w:right w:w="70" w:type="dxa"/>
      </w:tblCellMar>
      <w:tblLook w:val="0000" w:firstRow="0" w:lastRow="0" w:firstColumn="0" w:lastColumn="0" w:noHBand="0" w:noVBand="0"/>
    </w:tblPr>
    <w:tblGrid>
      <w:gridCol w:w="7392"/>
      <w:gridCol w:w="1750"/>
      <w:gridCol w:w="565"/>
    </w:tblGrid>
    <w:tr w:rsidR="00B87E7F" w14:paraId="794A33A9" w14:textId="77777777">
      <w:trPr>
        <w:cantSplit/>
      </w:trPr>
      <w:tc>
        <w:tcPr>
          <w:tcW w:w="7428" w:type="dxa"/>
          <w:noWrap/>
          <w:vAlign w:val="bottom"/>
        </w:tcPr>
        <w:p w14:paraId="42CB5E63" w14:textId="77777777" w:rsidR="00B87E7F" w:rsidRDefault="00B87E7F">
          <w:pPr>
            <w:pStyle w:val="Footer"/>
            <w:spacing w:line="200" w:lineRule="exact"/>
            <w:rPr>
              <w:rFonts w:cs="Arial"/>
            </w:rPr>
          </w:pPr>
          <w:bookmarkStart w:id="5" w:name="Fuss2"/>
        </w:p>
      </w:tc>
      <w:tc>
        <w:tcPr>
          <w:tcW w:w="1758" w:type="dxa"/>
          <w:noWrap/>
          <w:vAlign w:val="bottom"/>
        </w:tcPr>
        <w:p w14:paraId="0EF0D309" w14:textId="77777777" w:rsidR="00B87E7F" w:rsidRDefault="0082058A" w:rsidP="0082058A">
          <w:pPr>
            <w:pStyle w:val="Footer"/>
            <w:spacing w:line="200" w:lineRule="exact"/>
            <w:jc w:val="right"/>
            <w:rPr>
              <w:rFonts w:cs="Arial"/>
              <w:szCs w:val="14"/>
            </w:rPr>
          </w:pPr>
          <w:bookmarkStart w:id="6" w:name="PageName"/>
          <w:bookmarkEnd w:id="6"/>
          <w:r>
            <w:t xml:space="preserve">Pagina </w:t>
          </w:r>
          <w:r w:rsidR="00B87E7F">
            <w:rPr>
              <w:rFonts w:cs="Arial"/>
            </w:rPr>
            <w:fldChar w:fldCharType="begin"/>
          </w:r>
          <w:r w:rsidR="00B87E7F">
            <w:rPr>
              <w:rFonts w:cs="Arial"/>
            </w:rPr>
            <w:instrText xml:space="preserve"> PAGE  \* MERGEFORMAT </w:instrText>
          </w:r>
          <w:r w:rsidR="00B87E7F">
            <w:rPr>
              <w:rFonts w:cs="Arial"/>
            </w:rPr>
            <w:fldChar w:fldCharType="separate"/>
          </w:r>
          <w:r w:rsidR="00622924">
            <w:rPr>
              <w:rFonts w:cs="Arial"/>
            </w:rPr>
            <w:t>2</w:t>
          </w:r>
          <w:r w:rsidR="00B87E7F">
            <w:rPr>
              <w:rFonts w:cs="Arial"/>
            </w:rPr>
            <w:fldChar w:fldCharType="end"/>
          </w:r>
          <w:r>
            <w:t xml:space="preserve"> di </w:t>
          </w:r>
          <w:r w:rsidR="00B87E7F">
            <w:rPr>
              <w:rStyle w:val="PageNumber"/>
            </w:rPr>
            <w:fldChar w:fldCharType="begin"/>
          </w:r>
          <w:r w:rsidR="00B87E7F">
            <w:rPr>
              <w:rStyle w:val="PageNumber"/>
            </w:rPr>
            <w:instrText xml:space="preserve"> NUMPAGES </w:instrText>
          </w:r>
          <w:r w:rsidR="00B87E7F">
            <w:rPr>
              <w:rStyle w:val="PageNumber"/>
            </w:rPr>
            <w:fldChar w:fldCharType="separate"/>
          </w:r>
          <w:r w:rsidR="00622924">
            <w:rPr>
              <w:rStyle w:val="PageNumber"/>
            </w:rPr>
            <w:t>3</w:t>
          </w:r>
          <w:r w:rsidR="00B87E7F">
            <w:rPr>
              <w:rStyle w:val="PageNumber"/>
            </w:rPr>
            <w:fldChar w:fldCharType="end"/>
          </w:r>
        </w:p>
      </w:tc>
      <w:tc>
        <w:tcPr>
          <w:tcW w:w="567" w:type="dxa"/>
          <w:vAlign w:val="bottom"/>
        </w:tcPr>
        <w:p w14:paraId="47DCB64B" w14:textId="77777777" w:rsidR="00B87E7F" w:rsidRDefault="00B87E7F">
          <w:pPr>
            <w:pStyle w:val="Footer"/>
            <w:spacing w:line="200" w:lineRule="exact"/>
            <w:rPr>
              <w:rFonts w:cs="Arial"/>
              <w:szCs w:val="14"/>
            </w:rPr>
          </w:pPr>
        </w:p>
      </w:tc>
    </w:tr>
    <w:bookmarkEnd w:id="5"/>
  </w:tbl>
  <w:p w14:paraId="2EACC11F" w14:textId="77777777" w:rsidR="00B87E7F" w:rsidRDefault="00B87E7F">
    <w:pP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68" w:type="dxa"/>
      <w:tblLayout w:type="fixed"/>
      <w:tblCellMar>
        <w:left w:w="68" w:type="dxa"/>
        <w:right w:w="68" w:type="dxa"/>
      </w:tblCellMar>
      <w:tblLook w:val="0000" w:firstRow="0" w:lastRow="0" w:firstColumn="0" w:lastColumn="0" w:noHBand="0" w:noVBand="0"/>
    </w:tblPr>
    <w:tblGrid>
      <w:gridCol w:w="7371"/>
      <w:gridCol w:w="2835"/>
    </w:tblGrid>
    <w:tr w:rsidR="00B87E7F" w14:paraId="2A4D6D3C" w14:textId="77777777">
      <w:tc>
        <w:tcPr>
          <w:tcW w:w="7371" w:type="dxa"/>
          <w:tcMar>
            <w:left w:w="0" w:type="dxa"/>
            <w:right w:w="0" w:type="dxa"/>
          </w:tcMar>
          <w:vAlign w:val="bottom"/>
        </w:tcPr>
        <w:p w14:paraId="49157B3A" w14:textId="77777777" w:rsidR="00B87E7F" w:rsidRDefault="00B87E7F">
          <w:pPr>
            <w:pStyle w:val="Footer"/>
            <w:spacing w:line="200" w:lineRule="exact"/>
            <w:rPr>
              <w:rFonts w:cs="Arial"/>
              <w:szCs w:val="14"/>
            </w:rPr>
          </w:pPr>
          <w:bookmarkStart w:id="7" w:name="GeneralPartnerLinks"/>
          <w:bookmarkStart w:id="8" w:name="Fuss1"/>
          <w:bookmarkEnd w:id="7"/>
        </w:p>
      </w:tc>
      <w:tc>
        <w:tcPr>
          <w:tcW w:w="2835" w:type="dxa"/>
          <w:tcMar>
            <w:left w:w="0" w:type="dxa"/>
            <w:right w:w="0" w:type="dxa"/>
          </w:tcMar>
        </w:tcPr>
        <w:p w14:paraId="58254ED0" w14:textId="77777777" w:rsidR="00B87E7F" w:rsidRDefault="00B87E7F">
          <w:pPr>
            <w:rPr>
              <w:sz w:val="14"/>
            </w:rPr>
          </w:pPr>
          <w:bookmarkStart w:id="9" w:name="GeneralPartnerRechts"/>
          <w:bookmarkEnd w:id="9"/>
        </w:p>
      </w:tc>
    </w:tr>
  </w:tbl>
  <w:p w14:paraId="7764714F" w14:textId="77777777" w:rsidR="00B87E7F" w:rsidRDefault="00B87E7F">
    <w:pPr>
      <w:rPr>
        <w:sz w:val="14"/>
      </w:rPr>
    </w:pPr>
  </w:p>
  <w:bookmarkEnd w:i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E9BAC" w14:textId="77777777" w:rsidR="00026BCA" w:rsidRDefault="00026BCA">
      <w:r>
        <w:separator/>
      </w:r>
    </w:p>
  </w:footnote>
  <w:footnote w:type="continuationSeparator" w:id="0">
    <w:p w14:paraId="7C0ED1A5" w14:textId="77777777" w:rsidR="00026BCA" w:rsidRDefault="00026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11" w:type="dxa"/>
      <w:tblInd w:w="-255" w:type="dxa"/>
      <w:tblLayout w:type="fixed"/>
      <w:tblCellMar>
        <w:left w:w="0" w:type="dxa"/>
        <w:right w:w="0" w:type="dxa"/>
      </w:tblCellMar>
      <w:tblLook w:val="0000" w:firstRow="0" w:lastRow="0" w:firstColumn="0" w:lastColumn="0" w:noHBand="0" w:noVBand="0"/>
    </w:tblPr>
    <w:tblGrid>
      <w:gridCol w:w="5925"/>
      <w:gridCol w:w="3686"/>
    </w:tblGrid>
    <w:tr w:rsidR="00B87E7F" w14:paraId="282CFBDE" w14:textId="77777777" w:rsidTr="00A81175">
      <w:trPr>
        <w:trHeight w:hRule="exact" w:val="794"/>
      </w:trPr>
      <w:tc>
        <w:tcPr>
          <w:tcW w:w="5925" w:type="dxa"/>
          <w:noWrap/>
          <w:vAlign w:val="bottom"/>
        </w:tcPr>
        <w:p w14:paraId="2132B62E" w14:textId="11C3C3B4" w:rsidR="00B87E7F" w:rsidRDefault="006F68AA" w:rsidP="00725226">
          <w:pPr>
            <w:pStyle w:val="Header"/>
            <w:widowControl w:val="0"/>
            <w:overflowPunct w:val="0"/>
            <w:autoSpaceDE w:val="0"/>
            <w:autoSpaceDN w:val="0"/>
            <w:adjustRightInd w:val="0"/>
            <w:textAlignment w:val="baseline"/>
            <w:rPr>
              <w:rFonts w:cs="Arial"/>
              <w:sz w:val="16"/>
              <w:szCs w:val="16"/>
            </w:rPr>
          </w:pPr>
          <w:bookmarkStart w:id="2" w:name="Kopf2"/>
          <w:r>
            <w:t>Gennaio 2022</w:t>
          </w:r>
        </w:p>
      </w:tc>
      <w:tc>
        <w:tcPr>
          <w:tcW w:w="3686" w:type="dxa"/>
          <w:noWrap/>
          <w:tcMar>
            <w:left w:w="17" w:type="dxa"/>
          </w:tcMar>
          <w:vAlign w:val="bottom"/>
        </w:tcPr>
        <w:p w14:paraId="3183CBC4" w14:textId="77777777" w:rsidR="00B87E7F" w:rsidRDefault="00A81175" w:rsidP="00CF4016">
          <w:pPr>
            <w:pStyle w:val="Header"/>
            <w:tabs>
              <w:tab w:val="left" w:pos="838"/>
              <w:tab w:val="left" w:pos="5273"/>
              <w:tab w:val="left" w:pos="6480"/>
            </w:tabs>
            <w:jc w:val="right"/>
            <w:rPr>
              <w:sz w:val="16"/>
              <w:szCs w:val="16"/>
            </w:rPr>
          </w:pPr>
          <w:r>
            <w:rPr>
              <w:noProof/>
              <w:sz w:val="16"/>
            </w:rPr>
            <w:drawing>
              <wp:inline distT="0" distB="0" distL="0" distR="0" wp14:anchorId="3B2D787B" wp14:editId="1895DEB9">
                <wp:extent cx="1799449" cy="425917"/>
                <wp:effectExtent l="0" t="0" r="0" b="0"/>
                <wp:docPr id="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a:extLst>
                            <a:ext uri="{28A0092B-C50C-407E-A947-70E740481C1C}">
                              <a14:useLocalDpi xmlns:a14="http://schemas.microsoft.com/office/drawing/2010/main" val="0"/>
                            </a:ext>
                          </a:extLst>
                        </a:blip>
                        <a:stretch>
                          <a:fillRect/>
                        </a:stretch>
                      </pic:blipFill>
                      <pic:spPr>
                        <a:xfrm>
                          <a:off x="0" y="0"/>
                          <a:ext cx="1814694" cy="429525"/>
                        </a:xfrm>
                        <a:prstGeom prst="rect">
                          <a:avLst/>
                        </a:prstGeom>
                      </pic:spPr>
                    </pic:pic>
                  </a:graphicData>
                </a:graphic>
              </wp:inline>
            </w:drawing>
          </w:r>
        </w:p>
      </w:tc>
    </w:tr>
    <w:tr w:rsidR="00B87E7F" w14:paraId="5E1BA628" w14:textId="77777777" w:rsidTr="00A81175">
      <w:trPr>
        <w:trHeight w:hRule="exact" w:val="1049"/>
      </w:trPr>
      <w:tc>
        <w:tcPr>
          <w:tcW w:w="5925" w:type="dxa"/>
          <w:noWrap/>
          <w:tcMar>
            <w:left w:w="284" w:type="dxa"/>
          </w:tcMar>
          <w:vAlign w:val="bottom"/>
        </w:tcPr>
        <w:p w14:paraId="60C72912" w14:textId="77777777" w:rsidR="00B87E7F" w:rsidRDefault="00B87E7F" w:rsidP="00E40B63">
          <w:pPr>
            <w:pStyle w:val="Header"/>
            <w:widowControl w:val="0"/>
            <w:spacing w:line="340" w:lineRule="exact"/>
          </w:pPr>
          <w:bookmarkStart w:id="3" w:name="HeaderPage2Date"/>
          <w:bookmarkEnd w:id="3"/>
        </w:p>
      </w:tc>
      <w:tc>
        <w:tcPr>
          <w:tcW w:w="3686" w:type="dxa"/>
          <w:noWrap/>
          <w:tcMar>
            <w:left w:w="68" w:type="dxa"/>
          </w:tcMar>
          <w:vAlign w:val="bottom"/>
        </w:tcPr>
        <w:p w14:paraId="537F84EF" w14:textId="77777777" w:rsidR="00B87E7F" w:rsidRDefault="00E40B63" w:rsidP="000954FC">
          <w:pPr>
            <w:pStyle w:val="Header"/>
            <w:tabs>
              <w:tab w:val="left" w:pos="1474"/>
              <w:tab w:val="left" w:pos="5273"/>
              <w:tab w:val="left" w:pos="6480"/>
            </w:tabs>
            <w:spacing w:line="200" w:lineRule="exact"/>
            <w:ind w:right="440"/>
            <w:jc w:val="center"/>
          </w:pPr>
          <w:bookmarkStart w:id="4" w:name="HeaderPage2Name"/>
          <w:bookmarkEnd w:id="4"/>
          <w:r>
            <w:t xml:space="preserve">                </w:t>
          </w:r>
        </w:p>
      </w:tc>
    </w:tr>
  </w:tbl>
  <w:p w14:paraId="65C2247F" w14:textId="77777777" w:rsidR="00B87E7F" w:rsidRDefault="00B87E7F"/>
  <w:bookmarkEnd w:id="2"/>
  <w:p w14:paraId="63FEFF6A" w14:textId="77777777" w:rsidR="00B87E7F" w:rsidRDefault="00B87E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572FC" w14:textId="3A934C22" w:rsidR="00B87E7F" w:rsidRDefault="00EB5114" w:rsidP="00EB5114">
    <w:pPr>
      <w:pStyle w:val="Header"/>
      <w:jc w:val="right"/>
      <w:rPr>
        <w:sz w:val="14"/>
        <w:szCs w:val="14"/>
      </w:rPr>
    </w:pPr>
    <w:r>
      <w:rPr>
        <w:noProof/>
        <w:sz w:val="16"/>
      </w:rPr>
      <w:drawing>
        <wp:inline distT="0" distB="0" distL="0" distR="0" wp14:anchorId="40C4A24E" wp14:editId="25C61152">
          <wp:extent cx="1800225" cy="428625"/>
          <wp:effectExtent l="0" t="0" r="9525" b="9525"/>
          <wp:docPr id="6" name="Grafik 6" descr="CK_rgb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_rgb_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28625"/>
                  </a:xfrm>
                  <a:prstGeom prst="rect">
                    <a:avLst/>
                  </a:prstGeom>
                  <a:noFill/>
                  <a:ln>
                    <a:noFill/>
                  </a:ln>
                </pic:spPr>
              </pic:pic>
            </a:graphicData>
          </a:graphic>
        </wp:inline>
      </w:drawing>
    </w:r>
  </w:p>
  <w:p w14:paraId="3FDC89EC" w14:textId="77777777" w:rsidR="00EB5114" w:rsidRDefault="00EB5114" w:rsidP="00EB5114">
    <w:pPr>
      <w:pStyle w:val="Header"/>
      <w:jc w:val="right"/>
      <w:rPr>
        <w:sz w:val="14"/>
        <w:szCs w:val="14"/>
      </w:rPr>
    </w:pPr>
  </w:p>
  <w:p w14:paraId="0AA3E6D9" w14:textId="77777777" w:rsidR="00EB5114" w:rsidRPr="00EB5114" w:rsidRDefault="00EB5114" w:rsidP="00EB5114">
    <w:pPr>
      <w:pStyle w:val="Header"/>
      <w:jc w:val="right"/>
      <w:rPr>
        <w:sz w:val="24"/>
        <w:szCs w:val="28"/>
      </w:rPr>
    </w:pPr>
  </w:p>
  <w:p w14:paraId="4CDBCA94" w14:textId="77777777" w:rsidR="00EB5114" w:rsidRPr="00EB5114" w:rsidRDefault="00EB5114" w:rsidP="00EB5114">
    <w:pPr>
      <w:pStyle w:val="Header"/>
      <w:jc w:val="right"/>
      <w:rPr>
        <w:sz w:val="28"/>
        <w:szCs w:val="28"/>
      </w:rPr>
    </w:pPr>
  </w:p>
  <w:p w14:paraId="26F76F00" w14:textId="7D6A27AA" w:rsidR="00EB5114" w:rsidRPr="00EB5114" w:rsidRDefault="00EB5114" w:rsidP="00EB5114">
    <w:pPr>
      <w:pStyle w:val="Header"/>
      <w:rPr>
        <w:sz w:val="28"/>
        <w:szCs w:val="28"/>
      </w:rPr>
    </w:pPr>
    <w:r>
      <w:rPr>
        <w:sz w:val="28"/>
      </w:rPr>
      <w:t>PER RILASCIO IMMEDIATO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78A5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D64A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8A6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6EEE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F4BA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8A9B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C88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24CD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C614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3A5F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1" w15:restartNumberingAfterBreak="0">
    <w:nsid w:val="11994B55"/>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37C01782">
      <w:start w:val="1"/>
      <w:numFmt w:val="bullet"/>
      <w:lvlText w:val="-"/>
      <w:lvlJc w:val="left"/>
      <w:pPr>
        <w:tabs>
          <w:tab w:val="num" w:pos="1440"/>
        </w:tabs>
        <w:ind w:left="1440" w:hanging="360"/>
      </w:pPr>
      <w:rPr>
        <w:rFonts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ED2BF7"/>
    <w:multiLevelType w:val="hybridMultilevel"/>
    <w:tmpl w:val="E16A33BA"/>
    <w:lvl w:ilvl="0" w:tplc="DEC8394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DB91CD2"/>
    <w:multiLevelType w:val="hybridMultilevel"/>
    <w:tmpl w:val="B4140E88"/>
    <w:lvl w:ilvl="0" w:tplc="FD4AAF9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373A27"/>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F874FE"/>
    <w:multiLevelType w:val="hybridMultilevel"/>
    <w:tmpl w:val="15B0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de-CH" w:vendorID="64" w:dllVersion="6" w:nlCheck="1" w:checkStyle="1"/>
  <w:activeWritingStyle w:appName="MSWord" w:lang="en-US" w:vendorID="64" w:dllVersion="0" w:nlCheck="1" w:checkStyle="0"/>
  <w:activeWritingStyle w:appName="MSWord" w:lang="de-CH" w:vendorID="64" w:dllVersion="0" w:nlCheck="1" w:checkStyle="0"/>
  <w:activeWritingStyle w:appName="MSWord" w:lang="de-DE" w:vendorID="64" w:dllVersion="0" w:nlCheck="1" w:checkStyle="0"/>
  <w:activeWritingStyle w:appName="MSWord" w:lang="it-IT" w:vendorID="64" w:dllVersion="0"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81E"/>
    <w:rsid w:val="00003690"/>
    <w:rsid w:val="000043AA"/>
    <w:rsid w:val="00005A32"/>
    <w:rsid w:val="000060B7"/>
    <w:rsid w:val="00011E7F"/>
    <w:rsid w:val="000205CF"/>
    <w:rsid w:val="00026BCA"/>
    <w:rsid w:val="000377F1"/>
    <w:rsid w:val="00043409"/>
    <w:rsid w:val="00045BBE"/>
    <w:rsid w:val="00046DF6"/>
    <w:rsid w:val="000517CE"/>
    <w:rsid w:val="00052988"/>
    <w:rsid w:val="00070A02"/>
    <w:rsid w:val="000954FC"/>
    <w:rsid w:val="000967EF"/>
    <w:rsid w:val="00097B71"/>
    <w:rsid w:val="00097C2A"/>
    <w:rsid w:val="000A3B56"/>
    <w:rsid w:val="000B7A88"/>
    <w:rsid w:val="000C277B"/>
    <w:rsid w:val="000C531A"/>
    <w:rsid w:val="000C5C61"/>
    <w:rsid w:val="000C69F6"/>
    <w:rsid w:val="000D0930"/>
    <w:rsid w:val="000D6F4C"/>
    <w:rsid w:val="000E7C73"/>
    <w:rsid w:val="000E7F48"/>
    <w:rsid w:val="000F1636"/>
    <w:rsid w:val="000F4431"/>
    <w:rsid w:val="000F55C1"/>
    <w:rsid w:val="000F5979"/>
    <w:rsid w:val="00100DAA"/>
    <w:rsid w:val="001016A1"/>
    <w:rsid w:val="001162C4"/>
    <w:rsid w:val="00122065"/>
    <w:rsid w:val="00122BC5"/>
    <w:rsid w:val="00132EEC"/>
    <w:rsid w:val="00134580"/>
    <w:rsid w:val="0013631C"/>
    <w:rsid w:val="00141B1E"/>
    <w:rsid w:val="00142FFF"/>
    <w:rsid w:val="0015228F"/>
    <w:rsid w:val="0015764A"/>
    <w:rsid w:val="00166233"/>
    <w:rsid w:val="00173121"/>
    <w:rsid w:val="00190BDE"/>
    <w:rsid w:val="00192B86"/>
    <w:rsid w:val="001A3E25"/>
    <w:rsid w:val="001A7E41"/>
    <w:rsid w:val="001B68B8"/>
    <w:rsid w:val="001B732F"/>
    <w:rsid w:val="001C09FB"/>
    <w:rsid w:val="001C7D25"/>
    <w:rsid w:val="001D11EE"/>
    <w:rsid w:val="001E5236"/>
    <w:rsid w:val="002225E0"/>
    <w:rsid w:val="00234BA9"/>
    <w:rsid w:val="00240ECD"/>
    <w:rsid w:val="00266C34"/>
    <w:rsid w:val="002703CB"/>
    <w:rsid w:val="00280C64"/>
    <w:rsid w:val="00290042"/>
    <w:rsid w:val="00291EF9"/>
    <w:rsid w:val="0029499F"/>
    <w:rsid w:val="002A62FF"/>
    <w:rsid w:val="002B6CD7"/>
    <w:rsid w:val="002C19E9"/>
    <w:rsid w:val="002D0492"/>
    <w:rsid w:val="002D6CF7"/>
    <w:rsid w:val="00313276"/>
    <w:rsid w:val="00322B83"/>
    <w:rsid w:val="0033789A"/>
    <w:rsid w:val="00341924"/>
    <w:rsid w:val="0035374D"/>
    <w:rsid w:val="00357A64"/>
    <w:rsid w:val="003652EC"/>
    <w:rsid w:val="00376DBF"/>
    <w:rsid w:val="00381C1A"/>
    <w:rsid w:val="00392AA7"/>
    <w:rsid w:val="003972A1"/>
    <w:rsid w:val="003A0319"/>
    <w:rsid w:val="003A0511"/>
    <w:rsid w:val="003B20DF"/>
    <w:rsid w:val="003B46B8"/>
    <w:rsid w:val="003C76F6"/>
    <w:rsid w:val="003D42FC"/>
    <w:rsid w:val="003E3BC9"/>
    <w:rsid w:val="003F099F"/>
    <w:rsid w:val="0040684D"/>
    <w:rsid w:val="00415C98"/>
    <w:rsid w:val="00424DE9"/>
    <w:rsid w:val="00427774"/>
    <w:rsid w:val="00441C23"/>
    <w:rsid w:val="004510B3"/>
    <w:rsid w:val="0045290E"/>
    <w:rsid w:val="0046122F"/>
    <w:rsid w:val="00466116"/>
    <w:rsid w:val="0046653D"/>
    <w:rsid w:val="00475879"/>
    <w:rsid w:val="00476D50"/>
    <w:rsid w:val="00480147"/>
    <w:rsid w:val="00484260"/>
    <w:rsid w:val="004A4286"/>
    <w:rsid w:val="004F1BBB"/>
    <w:rsid w:val="00505E16"/>
    <w:rsid w:val="00525565"/>
    <w:rsid w:val="005319AE"/>
    <w:rsid w:val="0054598E"/>
    <w:rsid w:val="00553842"/>
    <w:rsid w:val="00554A66"/>
    <w:rsid w:val="005577CC"/>
    <w:rsid w:val="005749DF"/>
    <w:rsid w:val="00575610"/>
    <w:rsid w:val="0057627B"/>
    <w:rsid w:val="00577627"/>
    <w:rsid w:val="005826D4"/>
    <w:rsid w:val="00582B7F"/>
    <w:rsid w:val="00582CBF"/>
    <w:rsid w:val="00587BDB"/>
    <w:rsid w:val="00590AE1"/>
    <w:rsid w:val="005A29A5"/>
    <w:rsid w:val="005A3603"/>
    <w:rsid w:val="005B28D9"/>
    <w:rsid w:val="005B68E7"/>
    <w:rsid w:val="005C2BC5"/>
    <w:rsid w:val="005D1DAD"/>
    <w:rsid w:val="005E0E11"/>
    <w:rsid w:val="005E5AD8"/>
    <w:rsid w:val="005E74E6"/>
    <w:rsid w:val="00606E25"/>
    <w:rsid w:val="00616288"/>
    <w:rsid w:val="00622924"/>
    <w:rsid w:val="0062498E"/>
    <w:rsid w:val="006431DC"/>
    <w:rsid w:val="00647DEC"/>
    <w:rsid w:val="0065422C"/>
    <w:rsid w:val="00657BED"/>
    <w:rsid w:val="006611B8"/>
    <w:rsid w:val="00663A57"/>
    <w:rsid w:val="006653FD"/>
    <w:rsid w:val="0066781E"/>
    <w:rsid w:val="00674340"/>
    <w:rsid w:val="0068644B"/>
    <w:rsid w:val="006A2FAF"/>
    <w:rsid w:val="006A53F5"/>
    <w:rsid w:val="006A685F"/>
    <w:rsid w:val="006A7516"/>
    <w:rsid w:val="006B29D1"/>
    <w:rsid w:val="006D1E28"/>
    <w:rsid w:val="006D6940"/>
    <w:rsid w:val="006D7E54"/>
    <w:rsid w:val="006E6276"/>
    <w:rsid w:val="006F68AA"/>
    <w:rsid w:val="00720718"/>
    <w:rsid w:val="00725226"/>
    <w:rsid w:val="007408AE"/>
    <w:rsid w:val="00746679"/>
    <w:rsid w:val="00752DE3"/>
    <w:rsid w:val="00757E2B"/>
    <w:rsid w:val="00764787"/>
    <w:rsid w:val="0077467F"/>
    <w:rsid w:val="007748C3"/>
    <w:rsid w:val="007750F1"/>
    <w:rsid w:val="007862F4"/>
    <w:rsid w:val="00786E15"/>
    <w:rsid w:val="007906E3"/>
    <w:rsid w:val="007A401D"/>
    <w:rsid w:val="007B1BF6"/>
    <w:rsid w:val="007B1CC0"/>
    <w:rsid w:val="007B1CC4"/>
    <w:rsid w:val="007B4B51"/>
    <w:rsid w:val="007D0D1E"/>
    <w:rsid w:val="007E2FA8"/>
    <w:rsid w:val="00807332"/>
    <w:rsid w:val="00816B6E"/>
    <w:rsid w:val="0082058A"/>
    <w:rsid w:val="00826988"/>
    <w:rsid w:val="0083215A"/>
    <w:rsid w:val="008346CD"/>
    <w:rsid w:val="008406EE"/>
    <w:rsid w:val="00853AC6"/>
    <w:rsid w:val="008609A9"/>
    <w:rsid w:val="00866220"/>
    <w:rsid w:val="00895569"/>
    <w:rsid w:val="008B1F52"/>
    <w:rsid w:val="008B69DF"/>
    <w:rsid w:val="008D09A9"/>
    <w:rsid w:val="008E033E"/>
    <w:rsid w:val="008E267C"/>
    <w:rsid w:val="008E42A6"/>
    <w:rsid w:val="00911076"/>
    <w:rsid w:val="0091332A"/>
    <w:rsid w:val="009237A6"/>
    <w:rsid w:val="00940963"/>
    <w:rsid w:val="00944246"/>
    <w:rsid w:val="009518A0"/>
    <w:rsid w:val="009635A7"/>
    <w:rsid w:val="00970BB4"/>
    <w:rsid w:val="009721CF"/>
    <w:rsid w:val="00995BAA"/>
    <w:rsid w:val="00997A70"/>
    <w:rsid w:val="009A5F27"/>
    <w:rsid w:val="009A65EF"/>
    <w:rsid w:val="009B55BF"/>
    <w:rsid w:val="009C2615"/>
    <w:rsid w:val="009E60A1"/>
    <w:rsid w:val="009F27A6"/>
    <w:rsid w:val="009F3DB6"/>
    <w:rsid w:val="00A11667"/>
    <w:rsid w:val="00A138A1"/>
    <w:rsid w:val="00A30B37"/>
    <w:rsid w:val="00A5496E"/>
    <w:rsid w:val="00A63D0D"/>
    <w:rsid w:val="00A667B3"/>
    <w:rsid w:val="00A81175"/>
    <w:rsid w:val="00A93D9D"/>
    <w:rsid w:val="00A96E7D"/>
    <w:rsid w:val="00AA4B2E"/>
    <w:rsid w:val="00AC7D31"/>
    <w:rsid w:val="00AF3253"/>
    <w:rsid w:val="00AF6EBA"/>
    <w:rsid w:val="00AF78DE"/>
    <w:rsid w:val="00B05245"/>
    <w:rsid w:val="00B07047"/>
    <w:rsid w:val="00B135D0"/>
    <w:rsid w:val="00B16493"/>
    <w:rsid w:val="00B207E2"/>
    <w:rsid w:val="00B21651"/>
    <w:rsid w:val="00B247D1"/>
    <w:rsid w:val="00B25A36"/>
    <w:rsid w:val="00B5065C"/>
    <w:rsid w:val="00B54B2F"/>
    <w:rsid w:val="00B5597E"/>
    <w:rsid w:val="00B610A4"/>
    <w:rsid w:val="00B6190E"/>
    <w:rsid w:val="00B7492B"/>
    <w:rsid w:val="00B75C51"/>
    <w:rsid w:val="00B81F98"/>
    <w:rsid w:val="00B878DD"/>
    <w:rsid w:val="00B87E7F"/>
    <w:rsid w:val="00B928AF"/>
    <w:rsid w:val="00BA0846"/>
    <w:rsid w:val="00BA2E9B"/>
    <w:rsid w:val="00BB050B"/>
    <w:rsid w:val="00BB533F"/>
    <w:rsid w:val="00BC1B32"/>
    <w:rsid w:val="00BC5586"/>
    <w:rsid w:val="00BD400C"/>
    <w:rsid w:val="00BD5B47"/>
    <w:rsid w:val="00BE0D2B"/>
    <w:rsid w:val="00BE155C"/>
    <w:rsid w:val="00BF68DC"/>
    <w:rsid w:val="00C015ED"/>
    <w:rsid w:val="00C11286"/>
    <w:rsid w:val="00C137E6"/>
    <w:rsid w:val="00C15829"/>
    <w:rsid w:val="00C31B24"/>
    <w:rsid w:val="00C35454"/>
    <w:rsid w:val="00C428AF"/>
    <w:rsid w:val="00C446A2"/>
    <w:rsid w:val="00C47247"/>
    <w:rsid w:val="00C53482"/>
    <w:rsid w:val="00C53EF9"/>
    <w:rsid w:val="00C7409F"/>
    <w:rsid w:val="00C8585D"/>
    <w:rsid w:val="00C8788D"/>
    <w:rsid w:val="00C91F7A"/>
    <w:rsid w:val="00C95F0E"/>
    <w:rsid w:val="00CB1CDD"/>
    <w:rsid w:val="00CD157C"/>
    <w:rsid w:val="00CE14D0"/>
    <w:rsid w:val="00CF3A5B"/>
    <w:rsid w:val="00CF4016"/>
    <w:rsid w:val="00D0349B"/>
    <w:rsid w:val="00D05ABC"/>
    <w:rsid w:val="00D159F0"/>
    <w:rsid w:val="00D160EC"/>
    <w:rsid w:val="00D24448"/>
    <w:rsid w:val="00D33C22"/>
    <w:rsid w:val="00D354C4"/>
    <w:rsid w:val="00D4397D"/>
    <w:rsid w:val="00D447D8"/>
    <w:rsid w:val="00D53E54"/>
    <w:rsid w:val="00D76B7B"/>
    <w:rsid w:val="00D775DD"/>
    <w:rsid w:val="00D9358A"/>
    <w:rsid w:val="00D95760"/>
    <w:rsid w:val="00D96F52"/>
    <w:rsid w:val="00DA1F1C"/>
    <w:rsid w:val="00DA5C88"/>
    <w:rsid w:val="00DA5F0C"/>
    <w:rsid w:val="00DB5292"/>
    <w:rsid w:val="00DC2FAB"/>
    <w:rsid w:val="00DD16EE"/>
    <w:rsid w:val="00DD49B9"/>
    <w:rsid w:val="00DD5635"/>
    <w:rsid w:val="00DE2D7D"/>
    <w:rsid w:val="00E0667B"/>
    <w:rsid w:val="00E23983"/>
    <w:rsid w:val="00E24445"/>
    <w:rsid w:val="00E33264"/>
    <w:rsid w:val="00E370EA"/>
    <w:rsid w:val="00E3719C"/>
    <w:rsid w:val="00E40B63"/>
    <w:rsid w:val="00E520BA"/>
    <w:rsid w:val="00E6196B"/>
    <w:rsid w:val="00E8066E"/>
    <w:rsid w:val="00EA56C5"/>
    <w:rsid w:val="00EA6D12"/>
    <w:rsid w:val="00EB248B"/>
    <w:rsid w:val="00EB2B19"/>
    <w:rsid w:val="00EB3DC0"/>
    <w:rsid w:val="00EB5114"/>
    <w:rsid w:val="00EC42AE"/>
    <w:rsid w:val="00EC57A1"/>
    <w:rsid w:val="00ED51C1"/>
    <w:rsid w:val="00EE25A6"/>
    <w:rsid w:val="00EF0EB0"/>
    <w:rsid w:val="00F00F41"/>
    <w:rsid w:val="00F012BD"/>
    <w:rsid w:val="00F2224A"/>
    <w:rsid w:val="00F32FF4"/>
    <w:rsid w:val="00F4020D"/>
    <w:rsid w:val="00F412EC"/>
    <w:rsid w:val="00F57981"/>
    <w:rsid w:val="00F61966"/>
    <w:rsid w:val="00F72BD8"/>
    <w:rsid w:val="00FA46F2"/>
    <w:rsid w:val="00FA4F0A"/>
    <w:rsid w:val="00FB1445"/>
    <w:rsid w:val="00FB1801"/>
    <w:rsid w:val="00FC2239"/>
    <w:rsid w:val="00FD2250"/>
    <w:rsid w:val="00FE19AD"/>
    <w:rsid w:val="00FF27A9"/>
    <w:rsid w:val="00FF2B6D"/>
    <w:rsid w:val="00FF608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61D7F"/>
  <w15:docId w15:val="{A2F11E4F-4C4B-4E06-BBAE-21F560C6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szCs w:val="24"/>
      <w:lang w:eastAsia="de-DE"/>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link w:val="Heading4Char"/>
    <w:qFormat/>
    <w:rsid w:val="00F32FF4"/>
    <w:pPr>
      <w:keepNext/>
      <w:overflowPunct w:val="0"/>
      <w:autoSpaceDE w:val="0"/>
      <w:autoSpaceDN w:val="0"/>
      <w:adjustRightInd w:val="0"/>
      <w:spacing w:before="240" w:after="240"/>
      <w:ind w:left="567" w:hanging="567"/>
      <w:textAlignment w:val="baseline"/>
      <w:outlineLvl w:val="3"/>
    </w:pPr>
    <w:rPr>
      <w:b/>
      <w:szCs w:val="20"/>
    </w:rPr>
  </w:style>
  <w:style w:type="paragraph" w:styleId="Heading5">
    <w:name w:val="heading 5"/>
    <w:basedOn w:val="Normal"/>
    <w:next w:val="Normal"/>
    <w:link w:val="Heading5Char"/>
    <w:qFormat/>
    <w:rsid w:val="00F32FF4"/>
    <w:pPr>
      <w:overflowPunct w:val="0"/>
      <w:autoSpaceDE w:val="0"/>
      <w:autoSpaceDN w:val="0"/>
      <w:adjustRightInd w:val="0"/>
      <w:spacing w:before="240" w:after="240"/>
      <w:ind w:left="567" w:hanging="567"/>
      <w:textAlignment w:val="baseline"/>
      <w:outlineLvl w:val="4"/>
    </w:pPr>
    <w:rPr>
      <w:b/>
      <w:szCs w:val="20"/>
    </w:rPr>
  </w:style>
  <w:style w:type="paragraph" w:styleId="Heading6">
    <w:name w:val="heading 6"/>
    <w:basedOn w:val="Normal"/>
    <w:next w:val="Normal"/>
    <w:link w:val="Heading6Char"/>
    <w:qFormat/>
    <w:rsid w:val="00F32FF4"/>
    <w:pPr>
      <w:overflowPunct w:val="0"/>
      <w:autoSpaceDE w:val="0"/>
      <w:autoSpaceDN w:val="0"/>
      <w:adjustRightInd w:val="0"/>
      <w:spacing w:before="240" w:after="240"/>
      <w:ind w:left="567" w:hanging="567"/>
      <w:textAlignment w:val="baseline"/>
      <w:outlineLvl w:val="5"/>
    </w:pPr>
    <w:rPr>
      <w:b/>
      <w:szCs w:val="20"/>
    </w:rPr>
  </w:style>
  <w:style w:type="paragraph" w:styleId="Heading7">
    <w:name w:val="heading 7"/>
    <w:basedOn w:val="Normal"/>
    <w:next w:val="Normal"/>
    <w:link w:val="Heading7Char"/>
    <w:qFormat/>
    <w:rsid w:val="00F32FF4"/>
    <w:pPr>
      <w:overflowPunct w:val="0"/>
      <w:autoSpaceDE w:val="0"/>
      <w:autoSpaceDN w:val="0"/>
      <w:adjustRightInd w:val="0"/>
      <w:spacing w:before="240" w:after="240"/>
      <w:ind w:left="567" w:hanging="567"/>
      <w:textAlignment w:val="baseline"/>
      <w:outlineLvl w:val="6"/>
    </w:pPr>
    <w:rPr>
      <w:b/>
      <w:szCs w:val="20"/>
    </w:rPr>
  </w:style>
  <w:style w:type="paragraph" w:styleId="Heading8">
    <w:name w:val="heading 8"/>
    <w:basedOn w:val="Normal"/>
    <w:next w:val="Normal"/>
    <w:link w:val="Heading8Char"/>
    <w:qFormat/>
    <w:rsid w:val="00F32FF4"/>
    <w:pPr>
      <w:overflowPunct w:val="0"/>
      <w:autoSpaceDE w:val="0"/>
      <w:autoSpaceDN w:val="0"/>
      <w:adjustRightInd w:val="0"/>
      <w:spacing w:before="240" w:after="240"/>
      <w:ind w:left="567" w:hanging="567"/>
      <w:textAlignment w:val="baseline"/>
      <w:outlineLvl w:val="7"/>
    </w:pPr>
    <w:rPr>
      <w:b/>
      <w:szCs w:val="20"/>
    </w:rPr>
  </w:style>
  <w:style w:type="paragraph" w:styleId="Heading9">
    <w:name w:val="heading 9"/>
    <w:basedOn w:val="Normal"/>
    <w:next w:val="Normal"/>
    <w:link w:val="Heading9Char"/>
    <w:qFormat/>
    <w:rsid w:val="00F32FF4"/>
    <w:pPr>
      <w:overflowPunct w:val="0"/>
      <w:autoSpaceDE w:val="0"/>
      <w:autoSpaceDN w:val="0"/>
      <w:adjustRightInd w:val="0"/>
      <w:spacing w:before="240" w:after="240"/>
      <w:ind w:left="567" w:hanging="567"/>
      <w:textAlignment w:val="baseline"/>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tyle>
  <w:style w:type="paragraph" w:styleId="Footer">
    <w:name w:val="footer"/>
    <w:basedOn w:val="Normal"/>
    <w:rPr>
      <w:sz w:val="14"/>
    </w:rPr>
  </w:style>
  <w:style w:type="paragraph" w:styleId="BalloonText">
    <w:name w:val="Balloon Text"/>
    <w:basedOn w:val="Normal"/>
    <w:semiHidden/>
    <w:rPr>
      <w:rFonts w:ascii="Tahoma" w:hAnsi="Tahoma" w:cs="Tahoma"/>
      <w:sz w:val="16"/>
      <w:szCs w:val="16"/>
    </w:rPr>
  </w:style>
  <w:style w:type="paragraph" w:customStyle="1" w:styleId="Pressemitteilung">
    <w:name w:val="Pressemitteilung"/>
    <w:basedOn w:val="Normal"/>
    <w:next w:val="Normal"/>
    <w:pPr>
      <w:spacing w:before="200"/>
    </w:pPr>
    <w:rPr>
      <w:b/>
      <w:szCs w:val="20"/>
    </w:rPr>
  </w:style>
  <w:style w:type="paragraph" w:customStyle="1" w:styleId="Kontakt">
    <w:name w:val="Kontakt"/>
    <w:basedOn w:val="Normal"/>
    <w:pPr>
      <w:spacing w:line="200" w:lineRule="exact"/>
      <w:ind w:left="7088"/>
    </w:pPr>
    <w:rPr>
      <w:sz w:val="14"/>
      <w:szCs w:val="20"/>
    </w:rPr>
  </w:style>
  <w:style w:type="paragraph" w:customStyle="1" w:styleId="text">
    <w:name w:val="text"/>
    <w:basedOn w:val="Normal"/>
    <w:pPr>
      <w:spacing w:line="360" w:lineRule="auto"/>
    </w:pPr>
    <w:rPr>
      <w:szCs w:val="20"/>
    </w:rPr>
  </w:style>
  <w:style w:type="paragraph" w:customStyle="1" w:styleId="berschrift14p">
    <w:name w:val="Überschrift 14p"/>
    <w:basedOn w:val="Normal"/>
    <w:next w:val="Normal"/>
    <w:rPr>
      <w:b/>
      <w:sz w:val="28"/>
      <w:szCs w:val="20"/>
    </w:rPr>
  </w:style>
  <w:style w:type="character" w:styleId="Hyperlink">
    <w:name w:val="Hyperlink"/>
    <w:rPr>
      <w:color w:val="0000FF"/>
      <w:u w:val="single"/>
    </w:rPr>
  </w:style>
  <w:style w:type="paragraph" w:customStyle="1" w:styleId="Absatzformat1">
    <w:name w:val="Absatzformat 1"/>
    <w:basedOn w:val="Normal"/>
    <w:pPr>
      <w:autoSpaceDE w:val="0"/>
      <w:autoSpaceDN w:val="0"/>
      <w:adjustRightInd w:val="0"/>
      <w:spacing w:before="57" w:line="288" w:lineRule="auto"/>
      <w:textAlignment w:val="center"/>
    </w:pPr>
    <w:rPr>
      <w:rFonts w:ascii="Gotham Book" w:hAnsi="Gotham Book"/>
      <w:color w:val="000000"/>
      <w:sz w:val="16"/>
      <w:szCs w:val="16"/>
    </w:rPr>
  </w:style>
  <w:style w:type="paragraph" w:customStyle="1" w:styleId="textmitPunkt">
    <w:name w:val="text mit Punkt"/>
    <w:basedOn w:val="text"/>
    <w:pPr>
      <w:numPr>
        <w:numId w:val="3"/>
      </w:numPr>
      <w:spacing w:before="120"/>
    </w:pPr>
  </w:style>
  <w:style w:type="paragraph" w:customStyle="1" w:styleId="textnachPunkt">
    <w:name w:val="text nach Punkt"/>
    <w:basedOn w:val="text"/>
    <w:pPr>
      <w:spacing w:before="120"/>
    </w:pPr>
  </w:style>
  <w:style w:type="paragraph" w:customStyle="1" w:styleId="Trennung">
    <w:name w:val="Trennung"/>
    <w:basedOn w:val="Normal"/>
    <w:pPr>
      <w:spacing w:before="360" w:after="360"/>
      <w:jc w:val="center"/>
    </w:pPr>
    <w:rPr>
      <w:rFonts w:ascii="Wingdings" w:hAnsi="Wingdings"/>
      <w:color w:val="000000"/>
      <w:spacing w:val="120"/>
      <w:sz w:val="24"/>
      <w:szCs w:val="20"/>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character" w:styleId="PageNumber">
    <w:name w:val="page number"/>
    <w:basedOn w:val="DefaultParagraphFont"/>
    <w:semiHidden/>
  </w:style>
  <w:style w:type="paragraph" w:customStyle="1" w:styleId="bild">
    <w:name w:val="bild"/>
    <w:basedOn w:val="text"/>
    <w:pPr>
      <w:spacing w:before="240"/>
    </w:pPr>
    <w:rPr>
      <w:i/>
    </w:rPr>
  </w:style>
  <w:style w:type="paragraph" w:styleId="NormalWeb">
    <w:name w:val="Normal (Web)"/>
    <w:basedOn w:val="Normal"/>
    <w:semiHidden/>
    <w:pPr>
      <w:spacing w:before="30" w:after="30"/>
    </w:pPr>
    <w:rPr>
      <w:rFonts w:eastAsia="Arial Unicode MS" w:cs="Arial"/>
      <w:color w:val="000000"/>
      <w:sz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character" w:styleId="FollowedHyperlink">
    <w:name w:val="FollowedHyperlink"/>
    <w:semiHidden/>
    <w:rPr>
      <w:color w:val="800080"/>
      <w:u w:val="single"/>
    </w:rPr>
  </w:style>
  <w:style w:type="character" w:customStyle="1" w:styleId="normaltext">
    <w:name w:val="normaltext"/>
    <w:basedOn w:val="DefaultParagraphFont"/>
  </w:style>
  <w:style w:type="character" w:styleId="Strong">
    <w:name w:val="Strong"/>
    <w:basedOn w:val="DefaultParagraphFont"/>
    <w:qFormat/>
    <w:rsid w:val="005319AE"/>
    <w:rPr>
      <w:rFonts w:ascii="Times New Roman" w:hAnsi="Times New Roman" w:cs="Times New Roman"/>
      <w:b/>
      <w:bCs/>
    </w:rPr>
  </w:style>
  <w:style w:type="paragraph" w:customStyle="1" w:styleId="NoParagraphStyle">
    <w:name w:val="[No Paragraph Style]"/>
    <w:rsid w:val="00AF6EBA"/>
    <w:pPr>
      <w:autoSpaceDE w:val="0"/>
      <w:autoSpaceDN w:val="0"/>
      <w:adjustRightInd w:val="0"/>
      <w:spacing w:line="288" w:lineRule="auto"/>
      <w:textAlignment w:val="center"/>
    </w:pPr>
    <w:rPr>
      <w:rFonts w:ascii="Times" w:hAnsi="Times" w:cs="Times"/>
      <w:color w:val="000000"/>
      <w:sz w:val="24"/>
      <w:szCs w:val="24"/>
      <w:lang w:eastAsia="en-US"/>
    </w:rPr>
  </w:style>
  <w:style w:type="character" w:customStyle="1" w:styleId="HeaderChar">
    <w:name w:val="Header Char"/>
    <w:basedOn w:val="DefaultParagraphFont"/>
    <w:link w:val="Header"/>
    <w:rsid w:val="00AF6EBA"/>
    <w:rPr>
      <w:rFonts w:ascii="Arial" w:hAnsi="Arial"/>
      <w:sz w:val="22"/>
      <w:szCs w:val="24"/>
      <w:lang w:eastAsia="de-DE"/>
    </w:rPr>
  </w:style>
  <w:style w:type="paragraph" w:customStyle="1" w:styleId="prtext">
    <w:name w:val="pr text"/>
    <w:basedOn w:val="Normal"/>
    <w:rsid w:val="005B68E7"/>
    <w:pPr>
      <w:autoSpaceDE w:val="0"/>
      <w:autoSpaceDN w:val="0"/>
      <w:adjustRightInd w:val="0"/>
    </w:pPr>
    <w:rPr>
      <w:rFonts w:ascii="Times New Roman" w:hAnsi="Times New Roman"/>
      <w:sz w:val="24"/>
      <w:lang w:eastAsia="en-US"/>
    </w:rPr>
  </w:style>
  <w:style w:type="paragraph" w:styleId="BodyText">
    <w:name w:val="Body Text"/>
    <w:basedOn w:val="Normal"/>
    <w:link w:val="BodyTextChar"/>
    <w:rsid w:val="00C446A2"/>
    <w:pPr>
      <w:widowControl w:val="0"/>
      <w:spacing w:after="120"/>
    </w:pPr>
    <w:rPr>
      <w:rFonts w:ascii="Times New Roman" w:hAnsi="Times New Roman"/>
      <w:snapToGrid w:val="0"/>
      <w:sz w:val="24"/>
      <w:szCs w:val="20"/>
      <w:lang w:eastAsia="en-US"/>
    </w:rPr>
  </w:style>
  <w:style w:type="character" w:customStyle="1" w:styleId="BodyTextChar">
    <w:name w:val="Body Text Char"/>
    <w:basedOn w:val="DefaultParagraphFont"/>
    <w:link w:val="BodyText"/>
    <w:rsid w:val="00C446A2"/>
    <w:rPr>
      <w:snapToGrid w:val="0"/>
      <w:sz w:val="24"/>
      <w:lang w:val="it-IT" w:eastAsia="en-US"/>
    </w:rPr>
  </w:style>
  <w:style w:type="character" w:customStyle="1" w:styleId="Heading4Char">
    <w:name w:val="Heading 4 Char"/>
    <w:basedOn w:val="DefaultParagraphFont"/>
    <w:link w:val="Heading4"/>
    <w:rsid w:val="00F32FF4"/>
    <w:rPr>
      <w:rFonts w:ascii="Arial" w:hAnsi="Arial"/>
      <w:b/>
      <w:sz w:val="22"/>
      <w:lang w:eastAsia="de-DE"/>
    </w:rPr>
  </w:style>
  <w:style w:type="character" w:customStyle="1" w:styleId="Heading5Char">
    <w:name w:val="Heading 5 Char"/>
    <w:basedOn w:val="DefaultParagraphFont"/>
    <w:link w:val="Heading5"/>
    <w:rsid w:val="00F32FF4"/>
    <w:rPr>
      <w:rFonts w:ascii="Arial" w:hAnsi="Arial"/>
      <w:b/>
      <w:sz w:val="22"/>
      <w:lang w:eastAsia="de-DE"/>
    </w:rPr>
  </w:style>
  <w:style w:type="character" w:customStyle="1" w:styleId="Heading6Char">
    <w:name w:val="Heading 6 Char"/>
    <w:basedOn w:val="DefaultParagraphFont"/>
    <w:link w:val="Heading6"/>
    <w:rsid w:val="00F32FF4"/>
    <w:rPr>
      <w:rFonts w:ascii="Arial" w:hAnsi="Arial"/>
      <w:b/>
      <w:sz w:val="22"/>
      <w:lang w:eastAsia="de-DE"/>
    </w:rPr>
  </w:style>
  <w:style w:type="character" w:customStyle="1" w:styleId="Heading7Char">
    <w:name w:val="Heading 7 Char"/>
    <w:basedOn w:val="DefaultParagraphFont"/>
    <w:link w:val="Heading7"/>
    <w:rsid w:val="00F32FF4"/>
    <w:rPr>
      <w:rFonts w:ascii="Arial" w:hAnsi="Arial"/>
      <w:b/>
      <w:sz w:val="22"/>
      <w:lang w:eastAsia="de-DE"/>
    </w:rPr>
  </w:style>
  <w:style w:type="character" w:customStyle="1" w:styleId="Heading8Char">
    <w:name w:val="Heading 8 Char"/>
    <w:basedOn w:val="DefaultParagraphFont"/>
    <w:link w:val="Heading8"/>
    <w:rsid w:val="00F32FF4"/>
    <w:rPr>
      <w:rFonts w:ascii="Arial" w:hAnsi="Arial"/>
      <w:b/>
      <w:sz w:val="22"/>
      <w:lang w:eastAsia="de-DE"/>
    </w:rPr>
  </w:style>
  <w:style w:type="character" w:customStyle="1" w:styleId="Heading9Char">
    <w:name w:val="Heading 9 Char"/>
    <w:basedOn w:val="DefaultParagraphFont"/>
    <w:link w:val="Heading9"/>
    <w:rsid w:val="00F32FF4"/>
    <w:rPr>
      <w:rFonts w:ascii="Arial" w:hAnsi="Arial"/>
      <w:b/>
      <w:sz w:val="22"/>
      <w:lang w:eastAsia="de-DE"/>
    </w:rPr>
  </w:style>
  <w:style w:type="paragraph" w:styleId="CommentSubject">
    <w:name w:val="annotation subject"/>
    <w:basedOn w:val="CommentText"/>
    <w:next w:val="CommentText"/>
    <w:link w:val="CommentSubjectChar"/>
    <w:uiPriority w:val="99"/>
    <w:semiHidden/>
    <w:unhideWhenUsed/>
    <w:rsid w:val="00FE19AD"/>
    <w:rPr>
      <w:b/>
      <w:bCs/>
    </w:rPr>
  </w:style>
  <w:style w:type="character" w:customStyle="1" w:styleId="CommentTextChar">
    <w:name w:val="Comment Text Char"/>
    <w:basedOn w:val="DefaultParagraphFont"/>
    <w:link w:val="CommentText"/>
    <w:semiHidden/>
    <w:rsid w:val="00FE19AD"/>
    <w:rPr>
      <w:rFonts w:ascii="Arial" w:hAnsi="Arial"/>
      <w:lang w:eastAsia="de-DE"/>
    </w:rPr>
  </w:style>
  <w:style w:type="character" w:customStyle="1" w:styleId="CommentSubjectChar">
    <w:name w:val="Comment Subject Char"/>
    <w:basedOn w:val="CommentTextChar"/>
    <w:link w:val="CommentSubject"/>
    <w:uiPriority w:val="99"/>
    <w:semiHidden/>
    <w:rsid w:val="00FE19AD"/>
    <w:rPr>
      <w:rFonts w:ascii="Arial" w:hAnsi="Arial"/>
      <w:b/>
      <w:bCs/>
      <w:lang w:eastAsia="de-DE"/>
    </w:rPr>
  </w:style>
  <w:style w:type="paragraph" w:styleId="Revision">
    <w:name w:val="Revision"/>
    <w:hidden/>
    <w:uiPriority w:val="99"/>
    <w:semiHidden/>
    <w:rsid w:val="00C91F7A"/>
    <w:rPr>
      <w:rFonts w:ascii="Arial" w:hAnsi="Arial"/>
      <w:sz w:val="22"/>
      <w:szCs w:val="24"/>
      <w:lang w:eastAsia="de-DE"/>
    </w:rPr>
  </w:style>
  <w:style w:type="paragraph" w:customStyle="1" w:styleId="Body">
    <w:name w:val="Body"/>
    <w:rsid w:val="000E7F48"/>
    <w:pPr>
      <w:pBdr>
        <w:top w:val="nil"/>
        <w:left w:val="nil"/>
        <w:bottom w:val="nil"/>
        <w:right w:val="nil"/>
        <w:between w:val="nil"/>
        <w:bar w:val="nil"/>
      </w:pBdr>
    </w:pPr>
    <w:rPr>
      <w:rFonts w:ascii="Arial" w:eastAsia="Arial" w:hAnsi="Arial" w:cs="Arial"/>
      <w:color w:val="000000"/>
      <w:sz w:val="22"/>
      <w:szCs w:val="22"/>
      <w:u w:color="000000"/>
      <w:bdr w:val="nil"/>
    </w:rPr>
  </w:style>
  <w:style w:type="character" w:customStyle="1" w:styleId="Link">
    <w:name w:val="Link"/>
    <w:rsid w:val="000E7F48"/>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250410">
      <w:bodyDiv w:val="1"/>
      <w:marLeft w:val="0"/>
      <w:marRight w:val="0"/>
      <w:marTop w:val="0"/>
      <w:marBottom w:val="0"/>
      <w:divBdr>
        <w:top w:val="none" w:sz="0" w:space="0" w:color="auto"/>
        <w:left w:val="none" w:sz="0" w:space="0" w:color="auto"/>
        <w:bottom w:val="none" w:sz="0" w:space="0" w:color="auto"/>
        <w:right w:val="none" w:sz="0" w:space="0" w:color="auto"/>
      </w:divBdr>
    </w:div>
    <w:div w:id="50208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6329F-D4CC-4695-935B-DBD3441DB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1098</Words>
  <Characters>6429</Characters>
  <Application>Microsoft Office Word</Application>
  <DocSecurity>0</DocSecurity>
  <Lines>53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Coperion Blank Document</vt:lpstr>
      <vt:lpstr>Coperion Blank Document</vt:lpstr>
    </vt:vector>
  </TitlesOfParts>
  <Company>Coperion</Company>
  <LinksUpToDate>false</LinksUpToDate>
  <CharactersWithSpaces>7512</CharactersWithSpaces>
  <SharedDoc>false</SharedDoc>
  <HLinks>
    <vt:vector size="18" baseType="variant">
      <vt:variant>
        <vt:i4>7536745</vt:i4>
      </vt:variant>
      <vt:variant>
        <vt:i4>6</vt:i4>
      </vt:variant>
      <vt:variant>
        <vt:i4>0</vt:i4>
      </vt:variant>
      <vt:variant>
        <vt:i4>5</vt:i4>
      </vt:variant>
      <vt:variant>
        <vt:lpwstr>http://www.konsens.de/</vt:lpwstr>
      </vt:variant>
      <vt:variant>
        <vt:lpwstr/>
      </vt:variant>
      <vt:variant>
        <vt:i4>2097255</vt:i4>
      </vt:variant>
      <vt:variant>
        <vt:i4>3</vt:i4>
      </vt:variant>
      <vt:variant>
        <vt:i4>0</vt:i4>
      </vt:variant>
      <vt:variant>
        <vt:i4>5</vt:i4>
      </vt:variant>
      <vt:variant>
        <vt:lpwstr>http://www.coperion.com/news/pressemitteilungen</vt:lpwstr>
      </vt:variant>
      <vt:variant>
        <vt:lpwstr/>
      </vt:variant>
      <vt:variant>
        <vt:i4>4915283</vt:i4>
      </vt:variant>
      <vt:variant>
        <vt:i4>0</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 Blank Document</dc:title>
  <dc:creator>Bettina König</dc:creator>
  <cp:lastModifiedBy>Sullivan, Regula</cp:lastModifiedBy>
  <cp:revision>2</cp:revision>
  <cp:lastPrinted>2019-09-09T06:50:00Z</cp:lastPrinted>
  <dcterms:created xsi:type="dcterms:W3CDTF">2022-01-21T11:01:00Z</dcterms:created>
  <dcterms:modified xsi:type="dcterms:W3CDTF">2022-01-21T11:01:00Z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CoperionBlankDocument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BlankDocument</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