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CF970" w14:textId="6C80AEB3" w:rsidR="00B87E7F" w:rsidRPr="00800A5D" w:rsidRDefault="008609A9" w:rsidP="00970BB4">
      <w:pPr>
        <w:pStyle w:val="Kontakt"/>
        <w:ind w:left="7230"/>
        <w:rPr>
          <w:b/>
        </w:rPr>
      </w:pPr>
      <w:r w:rsidRPr="00800A5D">
        <w:rPr>
          <w:b/>
        </w:rPr>
        <w:t>Contacto</w:t>
      </w:r>
    </w:p>
    <w:p w14:paraId="6F7A29CE" w14:textId="24119162" w:rsidR="00B87E7F" w:rsidRPr="00800A5D" w:rsidRDefault="00E24445">
      <w:pPr>
        <w:pStyle w:val="Kontakt"/>
        <w:ind w:left="7230"/>
      </w:pPr>
      <w:r w:rsidRPr="00800A5D">
        <w:t>Regula Sullivan</w:t>
      </w:r>
    </w:p>
    <w:p w14:paraId="3CA2C829" w14:textId="4C7EB801" w:rsidR="00B87E7F" w:rsidRPr="00800A5D" w:rsidRDefault="000B7A88" w:rsidP="00A81175">
      <w:pPr>
        <w:pStyle w:val="Kontakt"/>
        <w:ind w:left="7230"/>
      </w:pPr>
      <w:r w:rsidRPr="00800A5D">
        <w:t>Comunicaciones de marketing</w:t>
      </w:r>
    </w:p>
    <w:p w14:paraId="4BE59E57" w14:textId="34A6AF6A" w:rsidR="00B87E7F" w:rsidRPr="00800A5D" w:rsidRDefault="00B87E7F" w:rsidP="00A81175">
      <w:pPr>
        <w:pStyle w:val="Kontakt"/>
        <w:ind w:left="7230" w:right="-511"/>
      </w:pPr>
      <w:r w:rsidRPr="00800A5D">
        <w:t>Coperion K-Tron (Suiza) LLC</w:t>
      </w:r>
    </w:p>
    <w:p w14:paraId="42F85A74" w14:textId="010CF662" w:rsidR="008609A9" w:rsidRPr="00800A5D" w:rsidRDefault="00E24445" w:rsidP="000B7A88">
      <w:pPr>
        <w:pStyle w:val="Kontakt"/>
        <w:ind w:left="7230"/>
      </w:pPr>
      <w:proofErr w:type="spellStart"/>
      <w:r w:rsidRPr="00800A5D">
        <w:t>Lenzhardweg</w:t>
      </w:r>
      <w:proofErr w:type="spellEnd"/>
      <w:r w:rsidRPr="00800A5D">
        <w:t xml:space="preserve"> 43/45</w:t>
      </w:r>
    </w:p>
    <w:p w14:paraId="4CB2EEBA" w14:textId="5F1A8D8B" w:rsidR="00B87E7F" w:rsidRPr="00800A5D" w:rsidRDefault="00E24445" w:rsidP="00A81175">
      <w:pPr>
        <w:pStyle w:val="Kontakt"/>
        <w:ind w:left="7230"/>
      </w:pPr>
      <w:r w:rsidRPr="00800A5D">
        <w:t xml:space="preserve">CH-5702 </w:t>
      </w:r>
      <w:proofErr w:type="spellStart"/>
      <w:r w:rsidRPr="00800A5D">
        <w:t>Niederlenz</w:t>
      </w:r>
      <w:proofErr w:type="spellEnd"/>
    </w:p>
    <w:p w14:paraId="077D4691" w14:textId="77777777" w:rsidR="00B87E7F" w:rsidRPr="00C248FD" w:rsidRDefault="00B87E7F">
      <w:pPr>
        <w:pStyle w:val="Kontakt"/>
        <w:ind w:left="7230"/>
        <w:rPr>
          <w:lang w:val="de-DE"/>
        </w:rPr>
      </w:pPr>
    </w:p>
    <w:p w14:paraId="6C08D8DA" w14:textId="672DBFD6" w:rsidR="00B87E7F" w:rsidRPr="00800A5D" w:rsidRDefault="00415C98" w:rsidP="00A81175">
      <w:pPr>
        <w:pStyle w:val="Kontakt"/>
        <w:ind w:left="7230"/>
      </w:pPr>
      <w:r w:rsidRPr="00800A5D">
        <w:t>Tel: +41 62 885 7171</w:t>
      </w:r>
    </w:p>
    <w:p w14:paraId="2A741B88" w14:textId="6EDA47C5" w:rsidR="00B87E7F" w:rsidRPr="00800A5D" w:rsidRDefault="00E24445" w:rsidP="00A81175">
      <w:pPr>
        <w:pStyle w:val="Kontakt"/>
        <w:ind w:left="7230" w:right="-186"/>
      </w:pPr>
      <w:r w:rsidRPr="00800A5D">
        <w:t>regula.sullivan@coperion.com</w:t>
      </w:r>
    </w:p>
    <w:p w14:paraId="4350FF75" w14:textId="77777777" w:rsidR="00B87E7F" w:rsidRPr="00800A5D" w:rsidRDefault="00B87E7F" w:rsidP="00A81175">
      <w:pPr>
        <w:pStyle w:val="Kontakt"/>
        <w:ind w:left="7230"/>
      </w:pPr>
      <w:r w:rsidRPr="00800A5D">
        <w:t>www.coperion.com</w:t>
      </w:r>
    </w:p>
    <w:p w14:paraId="1564F72F" w14:textId="77777777" w:rsidR="00357A64" w:rsidRPr="00800A5D" w:rsidRDefault="00357A64" w:rsidP="00357A64">
      <w:pPr>
        <w:snapToGrid w:val="0"/>
        <w:spacing w:line="360" w:lineRule="auto"/>
        <w:ind w:left="-72"/>
        <w:rPr>
          <w:rFonts w:cs="Arial"/>
          <w:szCs w:val="22"/>
          <w:lang w:val="de-CH"/>
        </w:rPr>
      </w:pPr>
    </w:p>
    <w:p w14:paraId="082C6823" w14:textId="121556B4" w:rsidR="00582CBF" w:rsidRPr="00800A5D" w:rsidRDefault="00582CBF" w:rsidP="000954FC">
      <w:pPr>
        <w:pStyle w:val="Pressemitteilung"/>
        <w:tabs>
          <w:tab w:val="left" w:pos="7200"/>
        </w:tabs>
        <w:rPr>
          <w:lang w:val="de-CH"/>
        </w:rPr>
      </w:pPr>
    </w:p>
    <w:p w14:paraId="2A62F1B4" w14:textId="77777777" w:rsidR="00E6196B" w:rsidRPr="00800A5D" w:rsidRDefault="00E6196B" w:rsidP="00E6196B">
      <w:pPr>
        <w:suppressAutoHyphens/>
        <w:spacing w:before="200"/>
        <w:rPr>
          <w:rFonts w:cs="Arial"/>
          <w:b/>
        </w:rPr>
      </w:pPr>
      <w:r w:rsidRPr="00800A5D">
        <w:rPr>
          <w:b/>
        </w:rPr>
        <w:t>Comunicado de prensa</w:t>
      </w:r>
    </w:p>
    <w:p w14:paraId="30DF4A34" w14:textId="77777777" w:rsidR="00E6196B" w:rsidRPr="00800A5D" w:rsidRDefault="00E6196B" w:rsidP="00E6196B">
      <w:pPr>
        <w:suppressAutoHyphens/>
        <w:rPr>
          <w:rFonts w:cs="Arial"/>
          <w:lang w:val="fr-FR" w:eastAsia="ar-SA"/>
        </w:rPr>
      </w:pPr>
    </w:p>
    <w:p w14:paraId="42CF8E49" w14:textId="226537BA" w:rsidR="006F68AA" w:rsidRPr="00800A5D" w:rsidRDefault="006F68AA" w:rsidP="00582B7F">
      <w:pPr>
        <w:pStyle w:val="berschrift14p"/>
        <w:rPr>
          <w:bCs/>
          <w:sz w:val="22"/>
          <w:szCs w:val="22"/>
        </w:rPr>
      </w:pPr>
      <w:r w:rsidRPr="00800A5D">
        <w:rPr>
          <w:sz w:val="22"/>
        </w:rPr>
        <w:t xml:space="preserve">Los dosificadores preconfigurados ofrecen a la industria del plástico una </w:t>
      </w:r>
      <w:r w:rsidR="00204D6A" w:rsidRPr="00800A5D">
        <w:rPr>
          <w:sz w:val="22"/>
        </w:rPr>
        <w:t xml:space="preserve">solución de </w:t>
      </w:r>
      <w:r w:rsidRPr="00800A5D">
        <w:rPr>
          <w:sz w:val="22"/>
        </w:rPr>
        <w:t>dosificación potente y efic</w:t>
      </w:r>
      <w:r w:rsidR="00204D6A" w:rsidRPr="00800A5D">
        <w:rPr>
          <w:sz w:val="22"/>
        </w:rPr>
        <w:t>iente</w:t>
      </w:r>
    </w:p>
    <w:p w14:paraId="7998F0BB" w14:textId="5296E360" w:rsidR="00582B7F" w:rsidRPr="00800A5D" w:rsidRDefault="00582B7F" w:rsidP="00582B7F">
      <w:pPr>
        <w:pStyle w:val="berschrift14p"/>
        <w:rPr>
          <w:bCs/>
          <w:szCs w:val="28"/>
        </w:rPr>
      </w:pPr>
      <w:r w:rsidRPr="00800A5D">
        <w:t>Coperion K-Tron anuncia la nueva línea de dosificadores ProRate PLUS</w:t>
      </w:r>
    </w:p>
    <w:p w14:paraId="11894AF5" w14:textId="00EE1A0E" w:rsidR="006A53F5" w:rsidRPr="00800A5D" w:rsidRDefault="006A53F5" w:rsidP="003A0511">
      <w:pPr>
        <w:rPr>
          <w:lang w:val="fr-FR"/>
        </w:rPr>
      </w:pPr>
    </w:p>
    <w:p w14:paraId="7B581E4E" w14:textId="77777777" w:rsidR="00582B7F" w:rsidRPr="00800A5D" w:rsidRDefault="00582B7F" w:rsidP="00582B7F">
      <w:pPr>
        <w:suppressAutoHyphens/>
        <w:spacing w:line="360" w:lineRule="auto"/>
        <w:rPr>
          <w:rFonts w:cs="Arial"/>
          <w:i/>
          <w:szCs w:val="22"/>
          <w:lang w:val="fr-FR" w:eastAsia="ar-SA"/>
        </w:rPr>
      </w:pPr>
    </w:p>
    <w:p w14:paraId="7E8F9795" w14:textId="34C2B612" w:rsidR="00582B7F" w:rsidRPr="00800A5D" w:rsidRDefault="00582B7F" w:rsidP="00582B7F">
      <w:pPr>
        <w:suppressAutoHyphens/>
        <w:spacing w:after="240" w:line="360" w:lineRule="auto"/>
        <w:rPr>
          <w:rFonts w:cs="Arial"/>
          <w:szCs w:val="22"/>
        </w:rPr>
      </w:pPr>
      <w:proofErr w:type="spellStart"/>
      <w:r w:rsidRPr="00800A5D">
        <w:rPr>
          <w:i/>
        </w:rPr>
        <w:t>Niederlenz</w:t>
      </w:r>
      <w:proofErr w:type="spellEnd"/>
      <w:r w:rsidRPr="00800A5D">
        <w:rPr>
          <w:i/>
        </w:rPr>
        <w:t>, Suiza (enero de 2022)</w:t>
      </w:r>
      <w:r w:rsidRPr="00800A5D">
        <w:t xml:space="preserve"> - Coperion K-Tron se enorgullece </w:t>
      </w:r>
      <w:r w:rsidR="00890442" w:rsidRPr="00800A5D">
        <w:t>de</w:t>
      </w:r>
      <w:r w:rsidRPr="00800A5D">
        <w:t xml:space="preserve"> anunciar la ampliación de</w:t>
      </w:r>
      <w:r w:rsidR="00A90721" w:rsidRPr="00800A5D">
        <w:t xml:space="preserve"> su portafolio</w:t>
      </w:r>
      <w:r w:rsidRPr="00800A5D">
        <w:t xml:space="preserve"> original de dosificadores ProRate™</w:t>
      </w:r>
      <w:r w:rsidR="00A90721" w:rsidRPr="00800A5D">
        <w:t>,</w:t>
      </w:r>
      <w:r w:rsidRPr="00800A5D">
        <w:t xml:space="preserve"> con </w:t>
      </w:r>
      <w:r w:rsidR="00A90721" w:rsidRPr="00800A5D">
        <w:t>una</w:t>
      </w:r>
      <w:r w:rsidRPr="00800A5D">
        <w:t xml:space="preserve"> línea </w:t>
      </w:r>
      <w:r w:rsidR="00A90721" w:rsidRPr="00800A5D">
        <w:t xml:space="preserve">completamente nueva y económica llamada </w:t>
      </w:r>
      <w:r w:rsidRPr="00800A5D">
        <w:t>ProRate PLUS. Respondiendo a la demanda del mercado de un dosificador robusto y fiable para aplicaciones de dosificación sencillas en la industria del plástico, Coperion K-Tron ha desarrollado una línea de dosificadores completamente nueva</w:t>
      </w:r>
      <w:r w:rsidR="002B7512" w:rsidRPr="00800A5D">
        <w:t>,</w:t>
      </w:r>
      <w:r w:rsidRPr="00800A5D">
        <w:t xml:space="preserve"> respaldándose en sus 100 años de experiencia en este campo</w:t>
      </w:r>
      <w:r w:rsidR="002B7512" w:rsidRPr="00800A5D">
        <w:t xml:space="preserve"> de la dosificación</w:t>
      </w:r>
      <w:r w:rsidRPr="00800A5D">
        <w:t>. La línea de dosifica</w:t>
      </w:r>
      <w:r w:rsidR="002B7512" w:rsidRPr="00800A5D">
        <w:t>dores</w:t>
      </w:r>
      <w:r w:rsidRPr="00800A5D">
        <w:t xml:space="preserve"> gravimétric</w:t>
      </w:r>
      <w:r w:rsidR="002B7512" w:rsidRPr="00800A5D">
        <w:t>os</w:t>
      </w:r>
      <w:r w:rsidRPr="00800A5D">
        <w:t xml:space="preserve"> </w:t>
      </w:r>
      <w:r w:rsidR="002B7512" w:rsidRPr="00800A5D">
        <w:t xml:space="preserve">y </w:t>
      </w:r>
      <w:r w:rsidRPr="00800A5D">
        <w:t>continu</w:t>
      </w:r>
      <w:r w:rsidR="002B7512" w:rsidRPr="00800A5D">
        <w:t>os</w:t>
      </w:r>
      <w:r w:rsidRPr="00800A5D">
        <w:t xml:space="preserve"> ProRate PLUS</w:t>
      </w:r>
      <w:r w:rsidR="002B7512" w:rsidRPr="00800A5D">
        <w:t>,</w:t>
      </w:r>
      <w:r w:rsidRPr="00800A5D">
        <w:t xml:space="preserve"> es una solución económica que permite un rápido </w:t>
      </w:r>
      <w:r w:rsidR="002B7512" w:rsidRPr="00800A5D">
        <w:t xml:space="preserve">retorno de </w:t>
      </w:r>
      <w:r w:rsidRPr="00800A5D">
        <w:t xml:space="preserve">inversión gracias a su excelente relación calidad-precio y a sus </w:t>
      </w:r>
      <w:r w:rsidR="002B7512" w:rsidRPr="00800A5D">
        <w:t xml:space="preserve">rápidos tiempos </w:t>
      </w:r>
      <w:r w:rsidRPr="00800A5D">
        <w:t xml:space="preserve">de entrega. Esta línea ha sido diseñada </w:t>
      </w:r>
      <w:r w:rsidR="00890442" w:rsidRPr="00800A5D">
        <w:t>cumpliendo</w:t>
      </w:r>
      <w:r w:rsidR="004D66B2" w:rsidRPr="00800A5D">
        <w:t xml:space="preserve"> </w:t>
      </w:r>
      <w:r w:rsidRPr="00800A5D">
        <w:t xml:space="preserve">los requisitos específicos de la industria </w:t>
      </w:r>
      <w:r w:rsidR="004D66B2" w:rsidRPr="00800A5D">
        <w:t>para el procesamiento</w:t>
      </w:r>
      <w:r w:rsidRPr="00800A5D">
        <w:t xml:space="preserve"> </w:t>
      </w:r>
      <w:r w:rsidR="004D66B2" w:rsidRPr="00800A5D">
        <w:t xml:space="preserve">de </w:t>
      </w:r>
      <w:r w:rsidRPr="00800A5D">
        <w:t>plásticos. Estos dosificadores de un solo tornillo</w:t>
      </w:r>
      <w:r w:rsidR="004D66B2" w:rsidRPr="00800A5D">
        <w:t xml:space="preserve"> </w:t>
      </w:r>
      <w:r w:rsidRPr="00800A5D">
        <w:t xml:space="preserve">son ideales para pellets, gránulos y otros materiales a granel </w:t>
      </w:r>
      <w:r w:rsidR="004D66B2" w:rsidRPr="00800A5D">
        <w:t xml:space="preserve">de fácil fluidez </w:t>
      </w:r>
      <w:r w:rsidRPr="00800A5D">
        <w:t xml:space="preserve">para aplicaciones secundarias de plásticos. Los dosificadores ProRate PLUS están disponibles en tres tamaños y pueden instalarse como unidades individuales o en grupos de hasta seis </w:t>
      </w:r>
      <w:r w:rsidR="004D66B2" w:rsidRPr="00800A5D">
        <w:t xml:space="preserve">dosificadores </w:t>
      </w:r>
      <w:r w:rsidRPr="00800A5D">
        <w:t>alrededor de la entrada de un proceso</w:t>
      </w:r>
      <w:r w:rsidR="004D66B2" w:rsidRPr="00800A5D">
        <w:t xml:space="preserve"> esto</w:t>
      </w:r>
      <w:r w:rsidRPr="00800A5D">
        <w:t xml:space="preserve"> </w:t>
      </w:r>
      <w:r w:rsidR="004D66B2" w:rsidRPr="00800A5D">
        <w:t>según</w:t>
      </w:r>
      <w:r w:rsidRPr="00800A5D">
        <w:t xml:space="preserve"> la formulación. </w:t>
      </w:r>
    </w:p>
    <w:p w14:paraId="65B73C11" w14:textId="5A07A031" w:rsidR="00582B7F" w:rsidRPr="00800A5D" w:rsidRDefault="00582B7F" w:rsidP="00582B7F">
      <w:pPr>
        <w:suppressAutoHyphens/>
        <w:spacing w:after="240" w:line="360" w:lineRule="auto"/>
        <w:rPr>
          <w:rFonts w:cs="Arial"/>
          <w:szCs w:val="22"/>
        </w:rPr>
      </w:pPr>
      <w:r w:rsidRPr="00800A5D">
        <w:t xml:space="preserve">La línea de dosificadores ProRate PLUS presenta un diseño único que permite una disposición muy compacta y </w:t>
      </w:r>
      <w:r w:rsidR="002507D1" w:rsidRPr="00800A5D">
        <w:t xml:space="preserve">de </w:t>
      </w:r>
      <w:r w:rsidRPr="00800A5D">
        <w:t xml:space="preserve">ahorro </w:t>
      </w:r>
      <w:r w:rsidR="002507D1" w:rsidRPr="00800A5D">
        <w:t xml:space="preserve">en </w:t>
      </w:r>
      <w:r w:rsidRPr="00800A5D">
        <w:t xml:space="preserve">espacio. La forma trapezoidal de los dosificadores ProRate Plus permite agrupar fácilmente hasta seis dosificadores alrededor de la entrada </w:t>
      </w:r>
      <w:r w:rsidR="002507D1" w:rsidRPr="00800A5D">
        <w:t xml:space="preserve">en </w:t>
      </w:r>
      <w:r w:rsidRPr="00800A5D">
        <w:t xml:space="preserve">una extrusora </w:t>
      </w:r>
      <w:r w:rsidR="002507D1" w:rsidRPr="00800A5D">
        <w:lastRenderedPageBreak/>
        <w:t xml:space="preserve">con </w:t>
      </w:r>
      <w:r w:rsidRPr="00800A5D">
        <w:t>un radio de 1,5 metros (5 pies). Los tres modelos de dosificadores PLUS-S, PLUS-M y PLUS-L cubren un ampli</w:t>
      </w:r>
      <w:r w:rsidR="00BD23C5" w:rsidRPr="00800A5D">
        <w:t>o</w:t>
      </w:r>
      <w:r w:rsidRPr="00800A5D">
        <w:t xml:space="preserve"> </w:t>
      </w:r>
      <w:r w:rsidR="00BD23C5" w:rsidRPr="00800A5D">
        <w:t>rango de rendimientos</w:t>
      </w:r>
      <w:r w:rsidR="002507D1" w:rsidRPr="00800A5D">
        <w:t>.</w:t>
      </w:r>
      <w:r w:rsidRPr="00800A5D">
        <w:t xml:space="preserve"> Los dosificadores ProRate PLUS son capaces de dosificar desde 3,3</w:t>
      </w:r>
      <w:r w:rsidR="00BD23C5" w:rsidRPr="00800A5D">
        <w:t xml:space="preserve"> </w:t>
      </w:r>
      <w:r w:rsidRPr="00800A5D">
        <w:t xml:space="preserve">hasta 4800 dm3/h [0,12 a 400 pies3/h], </w:t>
      </w:r>
      <w:r w:rsidR="00BD23C5" w:rsidRPr="00800A5D">
        <w:t xml:space="preserve">esto </w:t>
      </w:r>
      <w:r w:rsidRPr="00800A5D">
        <w:t>dependiendo del material. En teoría, un sistema de dosificación con seis dosificadores ProRate PLUS-L puede suministrar hasta 28,8</w:t>
      </w:r>
      <w:r w:rsidR="00800A5D" w:rsidRPr="00800A5D">
        <w:t xml:space="preserve"> </w:t>
      </w:r>
      <w:r w:rsidRPr="00800A5D">
        <w:t>m</w:t>
      </w:r>
      <w:r w:rsidRPr="00800A5D">
        <w:rPr>
          <w:vertAlign w:val="superscript"/>
        </w:rPr>
        <w:t>3</w:t>
      </w:r>
      <w:r w:rsidRPr="00800A5D">
        <w:t>/h</w:t>
      </w:r>
      <w:r w:rsidR="00800A5D" w:rsidRPr="00800A5D">
        <w:t xml:space="preserve"> </w:t>
      </w:r>
      <w:r w:rsidRPr="00800A5D">
        <w:t>[1017 pies</w:t>
      </w:r>
      <w:r w:rsidRPr="00800A5D">
        <w:rPr>
          <w:vertAlign w:val="superscript"/>
        </w:rPr>
        <w:t>3</w:t>
      </w:r>
      <w:r w:rsidRPr="00800A5D">
        <w:t>/h] en un espacio de sólo 7m</w:t>
      </w:r>
      <w:r w:rsidRPr="00800A5D">
        <w:rPr>
          <w:vertAlign w:val="superscript"/>
        </w:rPr>
        <w:t>2</w:t>
      </w:r>
      <w:r w:rsidRPr="00800A5D">
        <w:t xml:space="preserve"> [75 pies</w:t>
      </w:r>
      <w:r w:rsidRPr="00800A5D">
        <w:rPr>
          <w:vertAlign w:val="superscript"/>
        </w:rPr>
        <w:t>2</w:t>
      </w:r>
      <w:r w:rsidRPr="00800A5D">
        <w:t>].</w:t>
      </w:r>
    </w:p>
    <w:p w14:paraId="41884BA4" w14:textId="065A1E82" w:rsidR="00582B7F" w:rsidRPr="00800A5D" w:rsidRDefault="00582B7F" w:rsidP="00582B7F">
      <w:pPr>
        <w:suppressAutoHyphens/>
        <w:spacing w:line="360" w:lineRule="auto"/>
        <w:rPr>
          <w:rFonts w:cs="Arial"/>
          <w:szCs w:val="22"/>
        </w:rPr>
      </w:pPr>
      <w:r w:rsidRPr="00800A5D">
        <w:t xml:space="preserve">Los dosificadores ProRate cumplen con los estándares más exigentes e incluyen diversas características en su diseño para optimizar su rendimiento y facilidad de uso. </w:t>
      </w:r>
      <w:r w:rsidR="00BD23C5" w:rsidRPr="00800A5D">
        <w:t xml:space="preserve">Se proporciona un </w:t>
      </w:r>
      <w:r w:rsidRPr="00800A5D">
        <w:t xml:space="preserve">acceso </w:t>
      </w:r>
      <w:r w:rsidR="00BD23C5" w:rsidRPr="00800A5D">
        <w:t xml:space="preserve">muy sencillo </w:t>
      </w:r>
      <w:r w:rsidRPr="00800A5D">
        <w:t>para la limpieza y el mantenimiento, incluso cuando se disponen en grupo, gracias al sistema de r</w:t>
      </w:r>
      <w:r w:rsidR="00BD23C5" w:rsidRPr="00800A5D">
        <w:t xml:space="preserve">ieles </w:t>
      </w:r>
      <w:r w:rsidR="001C7AAF" w:rsidRPr="00800A5D">
        <w:t>llamado</w:t>
      </w:r>
      <w:r w:rsidRPr="00800A5D">
        <w:t xml:space="preserve"> “</w:t>
      </w:r>
      <w:proofErr w:type="spellStart"/>
      <w:r w:rsidRPr="00800A5D">
        <w:t>ProClean</w:t>
      </w:r>
      <w:proofErr w:type="spellEnd"/>
      <w:r w:rsidRPr="00800A5D">
        <w:t xml:space="preserve"> Rail”, cuya patente aún </w:t>
      </w:r>
      <w:r w:rsidR="001C7AAF" w:rsidRPr="00800A5D">
        <w:t>está pendiente</w:t>
      </w:r>
      <w:r w:rsidRPr="00800A5D">
        <w:t xml:space="preserve">. </w:t>
      </w:r>
      <w:proofErr w:type="spellStart"/>
      <w:r w:rsidRPr="00800A5D">
        <w:t>ProClean</w:t>
      </w:r>
      <w:proofErr w:type="spellEnd"/>
      <w:r w:rsidRPr="00800A5D">
        <w:t xml:space="preserve"> Rail permite retraer la unidad base hacia la parte trasera del dosificador y girarla para acceder a la sección de dosificación y al elemento de</w:t>
      </w:r>
      <w:r w:rsidR="001C7AAF" w:rsidRPr="00800A5D">
        <w:t>l</w:t>
      </w:r>
      <w:r w:rsidRPr="00800A5D">
        <w:t xml:space="preserve"> tornillo. Esto permite llevar a cabo el mantenimiento y la limpieza de la unidad de dosificación desde su posición. Además, el fuelle y el tornillo utilizan la última tecnología de imanes para un montaje sencillo pero </w:t>
      </w:r>
      <w:r w:rsidR="001C7AAF" w:rsidRPr="00800A5D">
        <w:t>robusto</w:t>
      </w:r>
      <w:r w:rsidRPr="00800A5D">
        <w:t xml:space="preserve">. Las conexiones magnéticas permiten desprender estas piezas sin necesidad de herramientas, proporcionando a la vez la fuerza de sujeción necesaria para un funcionamiento óptimo y seguro. Gracias </w:t>
      </w:r>
      <w:r w:rsidR="001C7AAF" w:rsidRPr="00800A5D">
        <w:t>al alto nivel</w:t>
      </w:r>
      <w:r w:rsidRPr="00800A5D">
        <w:t xml:space="preserve"> de estandarización </w:t>
      </w:r>
      <w:r w:rsidR="001C7AAF" w:rsidRPr="00800A5D">
        <w:t>en</w:t>
      </w:r>
      <w:r w:rsidRPr="00800A5D">
        <w:t xml:space="preserve"> los dosificadores, el número de piezas de repuesto necesarias para el stock de emergencia es mínimo. Muchas piezas son idénticas en los tres modelos y pueden utilizarse indistintamente en cada uno de ellos.</w:t>
      </w:r>
    </w:p>
    <w:p w14:paraId="24CAA8E6" w14:textId="77777777" w:rsidR="00582B7F" w:rsidRPr="00800A5D" w:rsidRDefault="00582B7F" w:rsidP="00582B7F">
      <w:pPr>
        <w:suppressAutoHyphens/>
        <w:spacing w:line="360" w:lineRule="auto"/>
        <w:rPr>
          <w:rFonts w:cs="Arial"/>
          <w:szCs w:val="22"/>
          <w:lang w:val="fr-FR" w:eastAsia="ar-SA"/>
        </w:rPr>
      </w:pPr>
    </w:p>
    <w:p w14:paraId="0DBE3CA0" w14:textId="50FD6AFE" w:rsidR="00582B7F" w:rsidRPr="00800A5D" w:rsidRDefault="00582B7F" w:rsidP="00582B7F">
      <w:pPr>
        <w:suppressAutoHyphens/>
        <w:spacing w:line="360" w:lineRule="auto"/>
        <w:rPr>
          <w:rFonts w:cs="Arial"/>
          <w:szCs w:val="22"/>
        </w:rPr>
      </w:pPr>
      <w:r w:rsidRPr="00800A5D">
        <w:t xml:space="preserve">Los dosificadores ProRate PLUS son aptos para su uso en lugares peligrosos clasificados como NEC Clase II, </w:t>
      </w:r>
      <w:proofErr w:type="spellStart"/>
      <w:r w:rsidRPr="00800A5D">
        <w:t>Div</w:t>
      </w:r>
      <w:proofErr w:type="spellEnd"/>
      <w:r w:rsidRPr="00800A5D">
        <w:t>. 2, Grupo F y G y ATEX 3D/3D (exterior/interior).</w:t>
      </w:r>
    </w:p>
    <w:p w14:paraId="56287B06" w14:textId="01476B8F" w:rsidR="00582B7F" w:rsidRPr="00800A5D" w:rsidRDefault="00582B7F" w:rsidP="00582B7F">
      <w:pPr>
        <w:suppressAutoHyphens/>
        <w:spacing w:line="360" w:lineRule="auto"/>
        <w:rPr>
          <w:rFonts w:cs="Arial"/>
          <w:szCs w:val="22"/>
          <w:lang w:val="fr-FR" w:eastAsia="ar-SA"/>
        </w:rPr>
      </w:pPr>
    </w:p>
    <w:p w14:paraId="2BF6096B" w14:textId="261DB1D6" w:rsidR="006F68AA" w:rsidRPr="00800A5D" w:rsidRDefault="006F68AA" w:rsidP="00582B7F">
      <w:pPr>
        <w:suppressAutoHyphens/>
        <w:spacing w:line="360" w:lineRule="auto"/>
        <w:rPr>
          <w:rFonts w:cs="Arial"/>
          <w:b/>
          <w:bCs/>
          <w:szCs w:val="22"/>
        </w:rPr>
      </w:pPr>
      <w:r w:rsidRPr="00800A5D">
        <w:rPr>
          <w:b/>
        </w:rPr>
        <w:t xml:space="preserve">Medición precisa de peso y módulos de control fiables para un funcionamiento </w:t>
      </w:r>
      <w:r w:rsidR="000445A8" w:rsidRPr="00800A5D">
        <w:rPr>
          <w:b/>
        </w:rPr>
        <w:t>eficiente</w:t>
      </w:r>
    </w:p>
    <w:p w14:paraId="6A047828" w14:textId="2865F0BC" w:rsidR="00582B7F" w:rsidRPr="00800A5D" w:rsidRDefault="00582B7F" w:rsidP="00582B7F">
      <w:pPr>
        <w:suppressAutoHyphens/>
        <w:spacing w:line="360" w:lineRule="auto"/>
        <w:rPr>
          <w:rFonts w:cs="Arial"/>
          <w:szCs w:val="22"/>
        </w:rPr>
      </w:pPr>
      <w:r w:rsidRPr="00800A5D">
        <w:t xml:space="preserve">Todos los dosificadores ProRate PLUS están equipados con </w:t>
      </w:r>
      <w:r w:rsidR="000445A8" w:rsidRPr="00800A5D">
        <w:t xml:space="preserve">celdas </w:t>
      </w:r>
      <w:r w:rsidRPr="00800A5D">
        <w:t xml:space="preserve">de carga P-SFT, que cuentan con la tecnología de medición Smart Force </w:t>
      </w:r>
      <w:proofErr w:type="spellStart"/>
      <w:r w:rsidRPr="00800A5D">
        <w:t>Transducer</w:t>
      </w:r>
      <w:proofErr w:type="spellEnd"/>
      <w:r w:rsidRPr="00800A5D">
        <w:t>, de gran fiabilidad. Funcionan bajo compresión y proporcionan una medición digital de</w:t>
      </w:r>
      <w:r w:rsidR="000445A8" w:rsidRPr="00800A5D">
        <w:t>l</w:t>
      </w:r>
      <w:r w:rsidRPr="00800A5D">
        <w:t xml:space="preserve"> peso</w:t>
      </w:r>
      <w:r w:rsidR="000445A8" w:rsidRPr="00800A5D">
        <w:t>,</w:t>
      </w:r>
      <w:r w:rsidRPr="00800A5D">
        <w:t xml:space="preserve"> precisa, estable y fiable en un</w:t>
      </w:r>
      <w:r w:rsidR="000445A8" w:rsidRPr="00800A5D">
        <w:t>a</w:t>
      </w:r>
      <w:r w:rsidRPr="00800A5D">
        <w:t xml:space="preserve"> ampli</w:t>
      </w:r>
      <w:r w:rsidR="000445A8" w:rsidRPr="00800A5D">
        <w:t>a gama de</w:t>
      </w:r>
      <w:r w:rsidRPr="00800A5D">
        <w:t xml:space="preserve"> condiciones</w:t>
      </w:r>
      <w:r w:rsidR="000445A8" w:rsidRPr="00800A5D">
        <w:t xml:space="preserve"> operativas</w:t>
      </w:r>
      <w:r w:rsidRPr="00800A5D">
        <w:t>. Las c</w:t>
      </w:r>
      <w:r w:rsidR="000445A8" w:rsidRPr="00800A5D">
        <w:t>eldas</w:t>
      </w:r>
      <w:r w:rsidRPr="00800A5D">
        <w:t xml:space="preserve"> de carga emiten una señal de pesaje digital directa y el microcontrolador incorporado garantiza una excelente repetibilidad y estabilidad. Las </w:t>
      </w:r>
      <w:r w:rsidR="000445A8" w:rsidRPr="00800A5D">
        <w:t>celdas</w:t>
      </w:r>
      <w:r w:rsidRPr="00800A5D">
        <w:t xml:space="preserve"> de carga P-SFT tienen una alta tolerancia a las vibraciones y al ruido eléctrico. Cuentan con protección integrada contra sobrecarga y </w:t>
      </w:r>
      <w:proofErr w:type="spellStart"/>
      <w:r w:rsidRPr="00800A5D">
        <w:t>subcarga</w:t>
      </w:r>
      <w:proofErr w:type="spellEnd"/>
      <w:r w:rsidRPr="00800A5D">
        <w:t>.</w:t>
      </w:r>
    </w:p>
    <w:p w14:paraId="488294B6" w14:textId="77777777" w:rsidR="00582B7F" w:rsidRPr="00800A5D" w:rsidRDefault="00582B7F" w:rsidP="00582B7F">
      <w:pPr>
        <w:suppressAutoHyphens/>
        <w:spacing w:line="360" w:lineRule="auto"/>
        <w:rPr>
          <w:rFonts w:cs="Arial"/>
          <w:szCs w:val="22"/>
          <w:lang w:eastAsia="ar-SA"/>
        </w:rPr>
      </w:pPr>
    </w:p>
    <w:p w14:paraId="548FDF76" w14:textId="6F41F5D3" w:rsidR="00582B7F" w:rsidRPr="00800A5D" w:rsidRDefault="00582B7F" w:rsidP="00582B7F">
      <w:pPr>
        <w:suppressAutoHyphens/>
        <w:spacing w:line="360" w:lineRule="auto"/>
        <w:rPr>
          <w:rFonts w:cs="Arial"/>
          <w:szCs w:val="22"/>
        </w:rPr>
      </w:pPr>
      <w:r w:rsidRPr="00800A5D">
        <w:lastRenderedPageBreak/>
        <w:t>Cada dosificador viene equipado con su propio módulo de control ProRate PLUS PCM precableado. El PCM está montado en el soporte del dosificador, con altura ajustable. Antes de su envío, cada PCM se prueba previamente en las instalaciones de fabricación de Coperion K-Tron. Hay dos modelos de PCM para elegir: una unidad de control de motor básica (PCM-MD) o una versión avanzada con interfaz de usuario integrada y funcionalidad de control de línea (PCM-KD). En un grupo de hasta ocho dosificadores uno de ellos debe estar equipado con el PCM-KD; para los demás el PCM-MD es suficiente.</w:t>
      </w:r>
    </w:p>
    <w:p w14:paraId="2E7C8770" w14:textId="77777777" w:rsidR="00582B7F" w:rsidRPr="00800A5D" w:rsidRDefault="00582B7F" w:rsidP="00582B7F">
      <w:pPr>
        <w:suppressAutoHyphens/>
        <w:spacing w:line="360" w:lineRule="auto"/>
        <w:rPr>
          <w:rFonts w:cs="Arial"/>
          <w:szCs w:val="22"/>
          <w:lang w:val="fr-FR" w:eastAsia="ar-SA"/>
        </w:rPr>
      </w:pPr>
    </w:p>
    <w:p w14:paraId="7A6497CB" w14:textId="151787F1" w:rsidR="00582B7F" w:rsidRPr="00800A5D" w:rsidRDefault="00582B7F" w:rsidP="003A0511">
      <w:pPr>
        <w:suppressAutoHyphens/>
        <w:spacing w:after="240" w:line="360" w:lineRule="auto"/>
        <w:rPr>
          <w:rFonts w:cs="Arial"/>
          <w:szCs w:val="22"/>
        </w:rPr>
      </w:pPr>
      <w:r w:rsidRPr="00800A5D">
        <w:t xml:space="preserve">El PCM-KD incluye todo el software que el dosificador ProRate PLUS necesita para las aplicaciones continuas y es compatible con los tres modelos. La conexión entre los dosificadores de </w:t>
      </w:r>
      <w:r w:rsidR="001B1841" w:rsidRPr="00800A5D">
        <w:t>peso</w:t>
      </w:r>
      <w:r w:rsidRPr="00800A5D">
        <w:t xml:space="preserve">, la interfaz del operador y las </w:t>
      </w:r>
      <w:r w:rsidR="001B1841" w:rsidRPr="00800A5D">
        <w:t>E/S inteligentes</w:t>
      </w:r>
      <w:r w:rsidRPr="00800A5D">
        <w:t xml:space="preserve"> se realiza a través de una red industrial. Todas las funciones de configuración del motor</w:t>
      </w:r>
      <w:r w:rsidR="001B1841" w:rsidRPr="00800A5D">
        <w:t>,</w:t>
      </w:r>
      <w:r w:rsidRPr="00800A5D">
        <w:t xml:space="preserve"> diagnóstico e interfaz del operador están integradas en la interfaz del usuario del PCM-KD. El PCM-KD está equipado con un puerto de comunicación host (Ethernet IP o </w:t>
      </w:r>
      <w:proofErr w:type="spellStart"/>
      <w:r w:rsidRPr="00800A5D">
        <w:t>Profinet</w:t>
      </w:r>
      <w:proofErr w:type="spellEnd"/>
      <w:r w:rsidRPr="00800A5D">
        <w:t>).</w:t>
      </w:r>
    </w:p>
    <w:p w14:paraId="25EAED9F" w14:textId="3AFA3EE7" w:rsidR="003A0511" w:rsidRPr="00800A5D" w:rsidRDefault="006F68AA" w:rsidP="00291EF9">
      <w:pPr>
        <w:suppressAutoHyphens/>
        <w:spacing w:after="240" w:line="360" w:lineRule="auto"/>
        <w:rPr>
          <w:rFonts w:cs="Arial"/>
          <w:b/>
          <w:bCs/>
          <w:szCs w:val="22"/>
        </w:rPr>
      </w:pPr>
      <w:r w:rsidRPr="00800A5D">
        <w:rPr>
          <w:b/>
        </w:rPr>
        <w:t xml:space="preserve">Una variedad de </w:t>
      </w:r>
      <w:r w:rsidR="00680628" w:rsidRPr="00800A5D">
        <w:rPr>
          <w:b/>
        </w:rPr>
        <w:t xml:space="preserve">ofertas y </w:t>
      </w:r>
      <w:r w:rsidRPr="00800A5D">
        <w:rPr>
          <w:b/>
        </w:rPr>
        <w:t xml:space="preserve">servicios para que los procesos funcionen sin problemas  </w:t>
      </w:r>
      <w:bookmarkStart w:id="0" w:name="_Hlk92380623"/>
    </w:p>
    <w:p w14:paraId="2ACDC151" w14:textId="5F6269C8" w:rsidR="00291EF9" w:rsidRPr="00800A5D" w:rsidRDefault="00291EF9" w:rsidP="00291EF9">
      <w:pPr>
        <w:suppressAutoHyphens/>
        <w:spacing w:after="240" w:line="360" w:lineRule="auto"/>
        <w:rPr>
          <w:rFonts w:cs="Arial"/>
          <w:szCs w:val="22"/>
        </w:rPr>
      </w:pPr>
      <w:r w:rsidRPr="00800A5D">
        <w:t xml:space="preserve">La dedicación de Coperion K-Tron </w:t>
      </w:r>
      <w:r w:rsidR="00680628" w:rsidRPr="00800A5D">
        <w:t>para la</w:t>
      </w:r>
      <w:r w:rsidRPr="00800A5D">
        <w:t xml:space="preserve"> satisfacción del cliente</w:t>
      </w:r>
      <w:r w:rsidR="00680628" w:rsidRPr="00800A5D">
        <w:t>,</w:t>
      </w:r>
      <w:r w:rsidRPr="00800A5D">
        <w:t xml:space="preserve"> también le ha llevado a la creación de una nueva y exclusiva cartera de servicios para el lanzamiento de esta línea de productos. Existe una variedad de paquetes </w:t>
      </w:r>
      <w:r w:rsidR="008D4990" w:rsidRPr="00800A5D">
        <w:t>para la puesta en marcha y</w:t>
      </w:r>
      <w:r w:rsidRPr="00800A5D">
        <w:t xml:space="preserve"> el servicio de los dosificadores ProRate PLUS</w:t>
      </w:r>
      <w:r w:rsidR="008D4990" w:rsidRPr="00800A5D">
        <w:t>,</w:t>
      </w:r>
      <w:r w:rsidRPr="00800A5D">
        <w:t xml:space="preserve"> con el fin de garantizar que cada cliente pueda obtener exactamente el servicio que necesita. Coperion K-Tron también ofrece servicios remotos rápidos y sencillos para ProRate PLUS. Desde un portal online hasta la asistencia telefónica las 24 horas del día e incluso asistencia de puesta en marcha remota, el personal de servicio técnico con la capacitación adecuada está disponible para mantener los sistemas en funcionamiento en todo el mundo.</w:t>
      </w:r>
    </w:p>
    <w:bookmarkEnd w:id="0"/>
    <w:p w14:paraId="00204B39" w14:textId="5D810C53" w:rsidR="00582B7F" w:rsidRPr="00800A5D" w:rsidRDefault="00582B7F" w:rsidP="00582B7F">
      <w:pPr>
        <w:suppressAutoHyphens/>
        <w:spacing w:line="360" w:lineRule="auto"/>
        <w:rPr>
          <w:rFonts w:cs="Arial"/>
          <w:szCs w:val="22"/>
        </w:rPr>
      </w:pPr>
      <w:r w:rsidRPr="00800A5D">
        <w:t xml:space="preserve">Así, la nueva línea de dosificadores ProRate PLUS ofrece una solución sencilla, robusta y fiable para </w:t>
      </w:r>
      <w:r w:rsidR="008D4990" w:rsidRPr="00800A5D">
        <w:t xml:space="preserve">dosificar </w:t>
      </w:r>
      <w:r w:rsidRPr="00800A5D">
        <w:t xml:space="preserve">una variedad de materiales a granel de </w:t>
      </w:r>
      <w:r w:rsidR="008D4990" w:rsidRPr="00800A5D">
        <w:t xml:space="preserve">fácil </w:t>
      </w:r>
      <w:r w:rsidRPr="00800A5D">
        <w:t>f</w:t>
      </w:r>
      <w:r w:rsidR="008D4990" w:rsidRPr="00800A5D">
        <w:t>luidez</w:t>
      </w:r>
      <w:r w:rsidRPr="00800A5D">
        <w:t xml:space="preserve"> en aplicaciones </w:t>
      </w:r>
      <w:r w:rsidR="008D4990" w:rsidRPr="00800A5D">
        <w:t xml:space="preserve">para el </w:t>
      </w:r>
      <w:r w:rsidRPr="00800A5D">
        <w:t>procesamiento de plásticos.</w:t>
      </w:r>
    </w:p>
    <w:p w14:paraId="438ECD49" w14:textId="77777777" w:rsidR="0077467F" w:rsidRPr="00800A5D" w:rsidRDefault="0077467F" w:rsidP="00E6196B">
      <w:pPr>
        <w:spacing w:line="360" w:lineRule="auto"/>
        <w:rPr>
          <w:rFonts w:cs="Arial"/>
          <w:szCs w:val="22"/>
          <w:lang w:val="fr-FR" w:eastAsia="ar-SA"/>
        </w:rPr>
      </w:pPr>
    </w:p>
    <w:p w14:paraId="278AD998" w14:textId="77777777" w:rsidR="00AF3253" w:rsidRPr="00800A5D" w:rsidRDefault="00AF3253" w:rsidP="00AF3253">
      <w:pPr>
        <w:spacing w:line="360" w:lineRule="auto"/>
        <w:rPr>
          <w:rFonts w:cs="Arial"/>
          <w:i/>
          <w:szCs w:val="22"/>
          <w:lang w:val="fr-FR" w:eastAsia="ar-SA"/>
        </w:rPr>
      </w:pPr>
    </w:p>
    <w:p w14:paraId="1824EBA9" w14:textId="115E07EB" w:rsidR="00097B71" w:rsidRPr="00800A5D" w:rsidRDefault="00800A5D" w:rsidP="00097B71">
      <w:pPr>
        <w:rPr>
          <w:rFonts w:cs="Arial"/>
          <w:sz w:val="20"/>
        </w:rPr>
      </w:pPr>
      <w:r w:rsidRPr="00800A5D">
        <w:rPr>
          <w:rFonts w:cs="Arial"/>
          <w:sz w:val="20"/>
        </w:rPr>
        <w:lastRenderedPageBreak/>
        <w:t xml:space="preserve">Coperion </w:t>
      </w:r>
      <w:hyperlink r:id="rId8" w:history="1">
        <w:r w:rsidRPr="00800A5D">
          <w:rPr>
            <w:rStyle w:val="Hyperlink"/>
            <w:rFonts w:cs="Arial"/>
            <w:color w:val="auto"/>
            <w:sz w:val="20"/>
          </w:rPr>
          <w:t>www.coperion.com</w:t>
        </w:r>
      </w:hyperlink>
      <w:r w:rsidRPr="00800A5D">
        <w:rPr>
          <w:rFonts w:cs="Arial"/>
          <w:sz w:val="20"/>
        </w:rPr>
        <w:t xml:space="preserve"> es la empresa líder del mercado internacional y en tecnología de sistemas de extrusión y </w:t>
      </w:r>
      <w:proofErr w:type="spellStart"/>
      <w:r w:rsidRPr="00800A5D">
        <w:rPr>
          <w:rFonts w:cs="Arial"/>
          <w:sz w:val="20"/>
        </w:rPr>
        <w:t>compounding</w:t>
      </w:r>
      <w:proofErr w:type="spellEnd"/>
      <w:r w:rsidRPr="00800A5D">
        <w:rPr>
          <w:rFonts w:cs="Arial"/>
          <w:sz w:val="20"/>
        </w:rPr>
        <w:t xml:space="preserve">, sistemas de dosificación, instalaciones para productos a granel y servicios. Coperion diseña, desarrolla, fabrica y presta soporte a instalaciones, así como máquinas y componentes para las industrias del plástico, química, farmacéutica, alimentaria y de minerales. Coperion emplea a 2.500 personas en todo el mundo en sus divisiones </w:t>
      </w:r>
      <w:proofErr w:type="spellStart"/>
      <w:r w:rsidRPr="00800A5D">
        <w:rPr>
          <w:rFonts w:cs="Arial"/>
          <w:sz w:val="20"/>
          <w:lang w:val="es-ES_tradnl"/>
        </w:rPr>
        <w:t>Polymer</w:t>
      </w:r>
      <w:proofErr w:type="spellEnd"/>
      <w:r w:rsidRPr="00800A5D">
        <w:rPr>
          <w:rFonts w:cs="Arial"/>
          <w:sz w:val="20"/>
          <w:lang w:val="es-ES_tradnl"/>
        </w:rPr>
        <w:t xml:space="preserve"> y</w:t>
      </w:r>
      <w:r w:rsidRPr="00800A5D">
        <w:rPr>
          <w:sz w:val="20"/>
        </w:rPr>
        <w:t xml:space="preserve"> </w:t>
      </w:r>
      <w:proofErr w:type="spellStart"/>
      <w:r w:rsidRPr="00800A5D">
        <w:rPr>
          <w:sz w:val="20"/>
        </w:rPr>
        <w:t>Strategic</w:t>
      </w:r>
      <w:proofErr w:type="spellEnd"/>
      <w:r w:rsidRPr="00800A5D">
        <w:rPr>
          <w:sz w:val="20"/>
        </w:rPr>
        <w:t xml:space="preserve"> </w:t>
      </w:r>
      <w:proofErr w:type="spellStart"/>
      <w:r w:rsidRPr="00800A5D">
        <w:rPr>
          <w:sz w:val="20"/>
        </w:rPr>
        <w:t>Markets</w:t>
      </w:r>
      <w:proofErr w:type="spellEnd"/>
      <w:r w:rsidRPr="00800A5D">
        <w:rPr>
          <w:sz w:val="20"/>
        </w:rPr>
        <w:t xml:space="preserve"> / </w:t>
      </w:r>
      <w:proofErr w:type="spellStart"/>
      <w:r w:rsidRPr="00800A5D">
        <w:rPr>
          <w:sz w:val="20"/>
        </w:rPr>
        <w:t>Aftermarket</w:t>
      </w:r>
      <w:proofErr w:type="spellEnd"/>
      <w:r w:rsidRPr="00800A5D">
        <w:rPr>
          <w:sz w:val="20"/>
        </w:rPr>
        <w:t xml:space="preserve"> Sales and Service</w:t>
      </w:r>
      <w:r w:rsidRPr="00800A5D">
        <w:rPr>
          <w:rFonts w:cs="Arial"/>
          <w:sz w:val="20"/>
        </w:rPr>
        <w:t>, y posee 30 sociedades comerciales y de ventas y servicio. Coperion K-Tron es una marca de Coperion</w:t>
      </w:r>
      <w:r w:rsidR="00097B71" w:rsidRPr="00800A5D">
        <w:rPr>
          <w:sz w:val="20"/>
        </w:rPr>
        <w:t xml:space="preserve">. </w:t>
      </w:r>
    </w:p>
    <w:p w14:paraId="795DBD19" w14:textId="4C52FEA1" w:rsidR="000E7F48" w:rsidRPr="00800A5D" w:rsidRDefault="000E7F48" w:rsidP="00AF3253">
      <w:pPr>
        <w:pStyle w:val="Trennung"/>
        <w:spacing w:before="480" w:after="480"/>
        <w:rPr>
          <w:color w:val="auto"/>
        </w:rPr>
      </w:pPr>
      <w:r w:rsidRPr="00800A5D">
        <w:rPr>
          <w:rFonts w:ascii="Arial Unicode MS" w:hAnsi="Arial Unicode MS"/>
          <w:color w:val="auto"/>
        </w:rPr>
        <w:t>⌘⌘⌘</w:t>
      </w:r>
    </w:p>
    <w:p w14:paraId="06ABB16A" w14:textId="531FC747" w:rsidR="00AF3253" w:rsidRPr="00800A5D" w:rsidRDefault="00AF3253" w:rsidP="00CD157C">
      <w:pPr>
        <w:pStyle w:val="Konsens"/>
        <w:spacing w:before="120" w:line="360" w:lineRule="auto"/>
        <w:ind w:left="0"/>
        <w:rPr>
          <w:i/>
          <w:szCs w:val="22"/>
          <w:lang w:val="fr-FR"/>
        </w:rPr>
      </w:pPr>
    </w:p>
    <w:p w14:paraId="052CE209" w14:textId="77777777" w:rsidR="00097B71" w:rsidRPr="00800A5D" w:rsidRDefault="00097B71" w:rsidP="00CD157C">
      <w:pPr>
        <w:pStyle w:val="Konsens"/>
        <w:spacing w:before="120" w:line="360" w:lineRule="auto"/>
        <w:ind w:left="0"/>
        <w:rPr>
          <w:i/>
          <w:szCs w:val="22"/>
          <w:lang w:val="fr-FR"/>
        </w:rPr>
      </w:pPr>
    </w:p>
    <w:p w14:paraId="790525CA" w14:textId="3D1C8BB0" w:rsidR="003A0511" w:rsidRPr="00800A5D" w:rsidRDefault="00800A5D" w:rsidP="00CD157C">
      <w:pPr>
        <w:pStyle w:val="Konsens"/>
        <w:spacing w:before="120" w:line="360" w:lineRule="auto"/>
        <w:ind w:left="0"/>
        <w:rPr>
          <w:i/>
          <w:szCs w:val="22"/>
        </w:rPr>
      </w:pPr>
      <w:r>
        <w:rPr>
          <w:rFonts w:cs="Arial"/>
          <w:noProof/>
          <w:szCs w:val="22"/>
          <w:lang w:val="en-US" w:eastAsia="ar-SA"/>
        </w:rPr>
        <w:drawing>
          <wp:inline distT="0" distB="0" distL="0" distR="0" wp14:anchorId="0B27C3F2" wp14:editId="0F94C8B3">
            <wp:extent cx="3619500" cy="27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1014" cy="2729154"/>
                    </a:xfrm>
                    <a:prstGeom prst="rect">
                      <a:avLst/>
                    </a:prstGeom>
                    <a:noFill/>
                    <a:ln>
                      <a:noFill/>
                    </a:ln>
                  </pic:spPr>
                </pic:pic>
              </a:graphicData>
            </a:graphic>
          </wp:inline>
        </w:drawing>
      </w:r>
    </w:p>
    <w:p w14:paraId="264BF9B0" w14:textId="128AC67B" w:rsidR="00CD157C" w:rsidRPr="00800A5D" w:rsidRDefault="003A0511" w:rsidP="00CD157C">
      <w:pPr>
        <w:pStyle w:val="Konsens"/>
        <w:spacing w:before="120" w:line="360" w:lineRule="auto"/>
        <w:ind w:left="0"/>
        <w:rPr>
          <w:i/>
          <w:szCs w:val="22"/>
        </w:rPr>
      </w:pPr>
      <w:r w:rsidRPr="00800A5D">
        <w:rPr>
          <w:i/>
        </w:rPr>
        <w:t xml:space="preserve">Los dosificadores gravimétricos continuos de un solo tornillo ProRate PLUS son ideales </w:t>
      </w:r>
      <w:r w:rsidR="00D6561E" w:rsidRPr="00800A5D">
        <w:rPr>
          <w:i/>
        </w:rPr>
        <w:t>para la dosificación</w:t>
      </w:r>
      <w:r w:rsidRPr="00800A5D">
        <w:rPr>
          <w:i/>
        </w:rPr>
        <w:t xml:space="preserve"> de pellets, gránulos y otros materiales a granel </w:t>
      </w:r>
      <w:r w:rsidR="00D6561E" w:rsidRPr="00800A5D">
        <w:rPr>
          <w:i/>
        </w:rPr>
        <w:t>de fácil fluidez</w:t>
      </w:r>
      <w:r w:rsidRPr="00800A5D">
        <w:rPr>
          <w:i/>
        </w:rPr>
        <w:t xml:space="preserve"> para las aplicaciones secundarias de plásticos.</w:t>
      </w:r>
    </w:p>
    <w:p w14:paraId="57785445" w14:textId="731A7BB9" w:rsidR="00AF3253" w:rsidRPr="00800A5D" w:rsidRDefault="00E24445" w:rsidP="00E24445">
      <w:pPr>
        <w:pStyle w:val="Konsens"/>
        <w:spacing w:before="120"/>
        <w:ind w:left="0"/>
        <w:rPr>
          <w:i/>
          <w:szCs w:val="22"/>
        </w:rPr>
      </w:pPr>
      <w:r w:rsidRPr="00800A5D">
        <w:rPr>
          <w:i/>
        </w:rPr>
        <w:t xml:space="preserve">Imagen: Coperion K-Tron, </w:t>
      </w:r>
      <w:proofErr w:type="spellStart"/>
      <w:r w:rsidRPr="00800A5D">
        <w:rPr>
          <w:i/>
        </w:rPr>
        <w:t>Niederlenz</w:t>
      </w:r>
      <w:proofErr w:type="spellEnd"/>
      <w:r w:rsidRPr="00800A5D">
        <w:rPr>
          <w:i/>
        </w:rPr>
        <w:t>, Suiza</w:t>
      </w:r>
    </w:p>
    <w:p w14:paraId="5A0961BD" w14:textId="77777777" w:rsidR="009F3DB6" w:rsidRPr="00800A5D" w:rsidRDefault="009F3DB6" w:rsidP="00E24445">
      <w:pPr>
        <w:pStyle w:val="Konsens"/>
        <w:spacing w:before="120"/>
        <w:ind w:left="0"/>
        <w:rPr>
          <w:i/>
          <w:szCs w:val="22"/>
        </w:rPr>
      </w:pPr>
    </w:p>
    <w:p w14:paraId="51A36C88" w14:textId="3F4C9AB2" w:rsidR="00190BDE" w:rsidRPr="00800A5D" w:rsidRDefault="00800A5D" w:rsidP="005A3603">
      <w:pPr>
        <w:pStyle w:val="Konsens"/>
        <w:spacing w:before="120"/>
        <w:ind w:left="0"/>
        <w:rPr>
          <w:i/>
          <w:szCs w:val="22"/>
        </w:rPr>
      </w:pPr>
      <w:r>
        <w:rPr>
          <w:i/>
          <w:noProof/>
          <w:szCs w:val="22"/>
          <w:lang w:val="de-CH"/>
        </w:rPr>
        <w:lastRenderedPageBreak/>
        <w:drawing>
          <wp:inline distT="0" distB="0" distL="0" distR="0" wp14:anchorId="78D76445" wp14:editId="7A2EA173">
            <wp:extent cx="3667125" cy="2748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2666" cy="2760376"/>
                    </a:xfrm>
                    <a:prstGeom prst="rect">
                      <a:avLst/>
                    </a:prstGeom>
                    <a:noFill/>
                    <a:ln>
                      <a:noFill/>
                    </a:ln>
                  </pic:spPr>
                </pic:pic>
              </a:graphicData>
            </a:graphic>
          </wp:inline>
        </w:drawing>
      </w:r>
    </w:p>
    <w:p w14:paraId="5B6DECB9" w14:textId="70ED1E05" w:rsidR="005A3603" w:rsidRPr="00800A5D" w:rsidRDefault="003A0511" w:rsidP="006431DC">
      <w:pPr>
        <w:pStyle w:val="Konsens"/>
        <w:spacing w:before="120" w:line="360" w:lineRule="auto"/>
        <w:ind w:left="0"/>
        <w:rPr>
          <w:i/>
          <w:szCs w:val="22"/>
        </w:rPr>
      </w:pPr>
      <w:r w:rsidRPr="00800A5D">
        <w:rPr>
          <w:i/>
        </w:rPr>
        <w:t xml:space="preserve">Los dosificadores ProRate PLUS pueden instalarse en unidades individuales o en grupos de hasta seis </w:t>
      </w:r>
      <w:r w:rsidR="00D6561E" w:rsidRPr="00800A5D">
        <w:rPr>
          <w:i/>
        </w:rPr>
        <w:t xml:space="preserve">dosificadores </w:t>
      </w:r>
      <w:r w:rsidRPr="00800A5D">
        <w:rPr>
          <w:i/>
        </w:rPr>
        <w:t>alrededor de la entrada de un proceso, dependiendo de la formulación</w:t>
      </w:r>
      <w:r w:rsidR="00D6561E" w:rsidRPr="00800A5D">
        <w:rPr>
          <w:i/>
        </w:rPr>
        <w:t>.</w:t>
      </w:r>
    </w:p>
    <w:p w14:paraId="7F6ACDA1" w14:textId="231F5DBC" w:rsidR="00190BDE" w:rsidRPr="00800A5D" w:rsidRDefault="00AF3253" w:rsidP="00AF3253">
      <w:pPr>
        <w:pStyle w:val="Konsens"/>
        <w:spacing w:before="120"/>
        <w:ind w:left="0"/>
        <w:rPr>
          <w:i/>
          <w:szCs w:val="22"/>
        </w:rPr>
      </w:pPr>
      <w:r w:rsidRPr="00800A5D">
        <w:rPr>
          <w:i/>
        </w:rPr>
        <w:t xml:space="preserve">Imagen: Coperion K-Tron, </w:t>
      </w:r>
      <w:proofErr w:type="spellStart"/>
      <w:r w:rsidRPr="00800A5D">
        <w:rPr>
          <w:i/>
        </w:rPr>
        <w:t>Niederlenz</w:t>
      </w:r>
      <w:proofErr w:type="spellEnd"/>
      <w:r w:rsidRPr="00800A5D">
        <w:rPr>
          <w:i/>
        </w:rPr>
        <w:t>, Suiza</w:t>
      </w:r>
    </w:p>
    <w:sectPr w:rsidR="00190BDE" w:rsidRPr="00800A5D" w:rsidSect="00C248FD">
      <w:headerReference w:type="default" r:id="rId11"/>
      <w:footerReference w:type="default" r:id="rId12"/>
      <w:headerReference w:type="first" r:id="rId13"/>
      <w:footerReference w:type="first" r:id="rId14"/>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20FCD" w14:textId="77777777" w:rsidR="000710F1" w:rsidRDefault="000710F1">
      <w:r>
        <w:separator/>
      </w:r>
    </w:p>
  </w:endnote>
  <w:endnote w:type="continuationSeparator" w:id="0">
    <w:p w14:paraId="3FF5299F" w14:textId="77777777" w:rsidR="000710F1" w:rsidRDefault="0007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4" w:name="Fuss2"/>
        </w:p>
      </w:tc>
      <w:tc>
        <w:tcPr>
          <w:tcW w:w="1758" w:type="dxa"/>
          <w:noWrap/>
          <w:vAlign w:val="bottom"/>
        </w:tcPr>
        <w:p w14:paraId="0EF0D309" w14:textId="77777777" w:rsidR="00B87E7F" w:rsidRDefault="0082058A" w:rsidP="0082058A">
          <w:pPr>
            <w:pStyle w:val="Fuzeile"/>
            <w:spacing w:line="200" w:lineRule="exact"/>
            <w:jc w:val="right"/>
            <w:rPr>
              <w:rFonts w:cs="Arial"/>
              <w:szCs w:val="14"/>
            </w:rPr>
          </w:pPr>
          <w:bookmarkStart w:id="5" w:name="PageName"/>
          <w:bookmarkEnd w:id="5"/>
          <w:r>
            <w:t xml:space="preserve">Página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622924">
            <w:rPr>
              <w:rFonts w:cs="Arial"/>
              <w:szCs w:val="14"/>
            </w:rPr>
            <w:t>2</w:t>
          </w:r>
          <w:r w:rsidR="00B87E7F">
            <w:rPr>
              <w:rFonts w:cs="Arial"/>
              <w:szCs w:val="14"/>
            </w:rPr>
            <w:fldChar w:fldCharType="end"/>
          </w:r>
          <w:r>
            <w:t xml:space="preserve"> de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622924">
            <w:rPr>
              <w:rStyle w:val="Seitenzahl"/>
            </w:rPr>
            <w:t>3</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4"/>
  </w:tbl>
  <w:p w14:paraId="2EACC11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6" w:name="GeneralPartnerLinks"/>
          <w:bookmarkStart w:id="7" w:name="Fuss1"/>
          <w:bookmarkEnd w:id="6"/>
        </w:p>
      </w:tc>
      <w:tc>
        <w:tcPr>
          <w:tcW w:w="2835" w:type="dxa"/>
          <w:tcMar>
            <w:left w:w="0" w:type="dxa"/>
            <w:right w:w="0" w:type="dxa"/>
          </w:tcMar>
        </w:tcPr>
        <w:p w14:paraId="58254ED0" w14:textId="77777777" w:rsidR="00B87E7F" w:rsidRDefault="00B87E7F">
          <w:pPr>
            <w:rPr>
              <w:sz w:val="14"/>
            </w:rPr>
          </w:pPr>
          <w:bookmarkStart w:id="8" w:name="GeneralPartnerRechts"/>
          <w:bookmarkEnd w:id="8"/>
        </w:p>
      </w:tc>
    </w:tr>
  </w:tbl>
  <w:p w14:paraId="7764714F" w14:textId="77777777" w:rsidR="00B87E7F" w:rsidRDefault="00B87E7F">
    <w:pPr>
      <w:rPr>
        <w:sz w:val="14"/>
      </w:rPr>
    </w:pPr>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F4529" w14:textId="77777777" w:rsidR="000710F1" w:rsidRDefault="000710F1">
      <w:r>
        <w:separator/>
      </w:r>
    </w:p>
  </w:footnote>
  <w:footnote w:type="continuationSeparator" w:id="0">
    <w:p w14:paraId="32CD8296" w14:textId="77777777" w:rsidR="000710F1" w:rsidRDefault="0007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11C3C3B4" w:rsidR="00B87E7F" w:rsidRDefault="006F68AA" w:rsidP="00725226">
          <w:pPr>
            <w:pStyle w:val="Kopfzeile"/>
            <w:widowControl w:val="0"/>
            <w:overflowPunct w:val="0"/>
            <w:autoSpaceDE w:val="0"/>
            <w:autoSpaceDN w:val="0"/>
            <w:adjustRightInd w:val="0"/>
            <w:textAlignment w:val="baseline"/>
            <w:rPr>
              <w:rFonts w:cs="Arial"/>
              <w:sz w:val="16"/>
              <w:szCs w:val="16"/>
            </w:rPr>
          </w:pPr>
          <w:bookmarkStart w:id="1" w:name="Kopf2"/>
          <w:r>
            <w:t>Enero de 2022</w:t>
          </w:r>
        </w:p>
      </w:tc>
      <w:tc>
        <w:tcPr>
          <w:tcW w:w="3686" w:type="dxa"/>
          <w:noWrap/>
          <w:tcMar>
            <w:left w:w="17" w:type="dxa"/>
          </w:tcMar>
          <w:vAlign w:val="bottom"/>
        </w:tcPr>
        <w:p w14:paraId="3183CBC4" w14:textId="2757A06B" w:rsidR="00B87E7F" w:rsidRDefault="00C248FD" w:rsidP="00CF4016">
          <w:pPr>
            <w:pStyle w:val="Kopfzeile"/>
            <w:tabs>
              <w:tab w:val="left" w:pos="838"/>
              <w:tab w:val="left" w:pos="5273"/>
              <w:tab w:val="left" w:pos="6480"/>
            </w:tabs>
            <w:jc w:val="right"/>
            <w:rPr>
              <w:sz w:val="16"/>
              <w:szCs w:val="16"/>
            </w:rPr>
          </w:pPr>
          <w:r>
            <w:rPr>
              <w:noProof/>
              <w:sz w:val="16"/>
              <w:szCs w:val="16"/>
              <w:lang w:val="de-CH" w:eastAsia="de-CH"/>
            </w:rPr>
            <w:drawing>
              <wp:inline distT="0" distB="0" distL="0" distR="0" wp14:anchorId="67B1F452" wp14:editId="30F6EA9F">
                <wp:extent cx="1800225" cy="428625"/>
                <wp:effectExtent l="0" t="0" r="9525" b="9525"/>
                <wp:docPr id="1" name="Grafik 1" descr="CK_r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_rgb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5C2247F" w14:textId="77777777" w:rsidR="00B87E7F" w:rsidRDefault="00B87E7F"/>
  <w:bookmarkEnd w:id="1"/>
  <w:p w14:paraId="63FEFF6A"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C89EC" w14:textId="16592BED" w:rsidR="00EB5114" w:rsidRDefault="00C248FD" w:rsidP="00EB5114">
    <w:pPr>
      <w:pStyle w:val="Kopfzeile"/>
      <w:jc w:val="right"/>
      <w:rPr>
        <w:sz w:val="14"/>
        <w:szCs w:val="14"/>
      </w:rPr>
    </w:pPr>
    <w:r>
      <w:rPr>
        <w:noProof/>
        <w:sz w:val="16"/>
        <w:szCs w:val="16"/>
        <w:lang w:val="de-CH" w:eastAsia="de-CH"/>
      </w:rPr>
      <w:drawing>
        <wp:inline distT="0" distB="0" distL="0" distR="0" wp14:anchorId="0B8F66AE" wp14:editId="1762CC26">
          <wp:extent cx="1800225" cy="428625"/>
          <wp:effectExtent l="0" t="0" r="9525" b="9525"/>
          <wp:docPr id="6" name="Grafik 6" descr="CK_r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_rgb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14:paraId="0AA3E6D9" w14:textId="77777777" w:rsidR="00EB5114" w:rsidRPr="00EB5114" w:rsidRDefault="00EB5114" w:rsidP="00EB5114">
    <w:pPr>
      <w:pStyle w:val="Kopfzeile"/>
      <w:jc w:val="right"/>
      <w:rPr>
        <w:sz w:val="24"/>
        <w:szCs w:val="28"/>
      </w:rPr>
    </w:pPr>
  </w:p>
  <w:p w14:paraId="4CDBCA94" w14:textId="77777777" w:rsidR="00EB5114" w:rsidRPr="00EB5114" w:rsidRDefault="00EB5114" w:rsidP="00EB5114">
    <w:pPr>
      <w:pStyle w:val="Kopfzeile"/>
      <w:jc w:val="right"/>
      <w:rPr>
        <w:sz w:val="28"/>
        <w:szCs w:val="28"/>
      </w:rPr>
    </w:pPr>
  </w:p>
  <w:p w14:paraId="26F76F00" w14:textId="7D6A27AA" w:rsidR="00EB5114" w:rsidRPr="00EB5114" w:rsidRDefault="00EB5114" w:rsidP="00EB5114">
    <w:pPr>
      <w:pStyle w:val="Kopfzeile"/>
      <w:rPr>
        <w:sz w:val="28"/>
        <w:szCs w:val="28"/>
      </w:rPr>
    </w:pPr>
    <w:r>
      <w:rPr>
        <w:sz w:val="28"/>
      </w:rPr>
      <w:t>PARA PUBLICACIÓN INMEDIATA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activeWritingStyle w:appName="MSWord" w:lang="es-ES" w:vendorID="64" w:dllVersion="0" w:nlCheck="1" w:checkStyle="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1E"/>
    <w:rsid w:val="00003690"/>
    <w:rsid w:val="000043AA"/>
    <w:rsid w:val="00005A32"/>
    <w:rsid w:val="000060B7"/>
    <w:rsid w:val="00011E7F"/>
    <w:rsid w:val="000205CF"/>
    <w:rsid w:val="000377F1"/>
    <w:rsid w:val="00043409"/>
    <w:rsid w:val="000445A8"/>
    <w:rsid w:val="00045BBE"/>
    <w:rsid w:val="00046DF6"/>
    <w:rsid w:val="000517CE"/>
    <w:rsid w:val="00052988"/>
    <w:rsid w:val="00070A02"/>
    <w:rsid w:val="000710F1"/>
    <w:rsid w:val="000954FC"/>
    <w:rsid w:val="000967EF"/>
    <w:rsid w:val="00097B71"/>
    <w:rsid w:val="00097C2A"/>
    <w:rsid w:val="000A3B56"/>
    <w:rsid w:val="000B7A88"/>
    <w:rsid w:val="000C277B"/>
    <w:rsid w:val="000C531A"/>
    <w:rsid w:val="000C5C61"/>
    <w:rsid w:val="000C69F6"/>
    <w:rsid w:val="000D0930"/>
    <w:rsid w:val="000D6F4C"/>
    <w:rsid w:val="000E7C73"/>
    <w:rsid w:val="000E7F48"/>
    <w:rsid w:val="000F1636"/>
    <w:rsid w:val="000F4431"/>
    <w:rsid w:val="000F55C1"/>
    <w:rsid w:val="000F5979"/>
    <w:rsid w:val="00100DAA"/>
    <w:rsid w:val="001016A1"/>
    <w:rsid w:val="0010789C"/>
    <w:rsid w:val="001162C4"/>
    <w:rsid w:val="00122065"/>
    <w:rsid w:val="00122BC5"/>
    <w:rsid w:val="00132EEC"/>
    <w:rsid w:val="00134580"/>
    <w:rsid w:val="0013631C"/>
    <w:rsid w:val="00141B1E"/>
    <w:rsid w:val="00142FFF"/>
    <w:rsid w:val="0015228F"/>
    <w:rsid w:val="0015764A"/>
    <w:rsid w:val="00166233"/>
    <w:rsid w:val="00173121"/>
    <w:rsid w:val="00190BDE"/>
    <w:rsid w:val="00192B86"/>
    <w:rsid w:val="001A3E25"/>
    <w:rsid w:val="001A7E41"/>
    <w:rsid w:val="001B1841"/>
    <w:rsid w:val="001B68B8"/>
    <w:rsid w:val="001B732F"/>
    <w:rsid w:val="001C09FB"/>
    <w:rsid w:val="001C7AAF"/>
    <w:rsid w:val="001C7D25"/>
    <w:rsid w:val="001D11EE"/>
    <w:rsid w:val="001E5236"/>
    <w:rsid w:val="00204D6A"/>
    <w:rsid w:val="002225E0"/>
    <w:rsid w:val="00234BA9"/>
    <w:rsid w:val="00240ECD"/>
    <w:rsid w:val="002507D1"/>
    <w:rsid w:val="00266C34"/>
    <w:rsid w:val="002703CB"/>
    <w:rsid w:val="00280C64"/>
    <w:rsid w:val="00290042"/>
    <w:rsid w:val="00291EF9"/>
    <w:rsid w:val="0029499F"/>
    <w:rsid w:val="002A62FF"/>
    <w:rsid w:val="002B6CD7"/>
    <w:rsid w:val="002B7512"/>
    <w:rsid w:val="002C19E9"/>
    <w:rsid w:val="002D0492"/>
    <w:rsid w:val="002D6CF7"/>
    <w:rsid w:val="00313276"/>
    <w:rsid w:val="00322B83"/>
    <w:rsid w:val="0033789A"/>
    <w:rsid w:val="00341924"/>
    <w:rsid w:val="0035374D"/>
    <w:rsid w:val="00357A64"/>
    <w:rsid w:val="003652EC"/>
    <w:rsid w:val="00376DBF"/>
    <w:rsid w:val="00381C1A"/>
    <w:rsid w:val="00392AA7"/>
    <w:rsid w:val="003972A1"/>
    <w:rsid w:val="003A0319"/>
    <w:rsid w:val="003A0511"/>
    <w:rsid w:val="003B20DF"/>
    <w:rsid w:val="003B46B8"/>
    <w:rsid w:val="003C76F6"/>
    <w:rsid w:val="003D42FC"/>
    <w:rsid w:val="003E3BC9"/>
    <w:rsid w:val="003F099F"/>
    <w:rsid w:val="0040684D"/>
    <w:rsid w:val="00415C98"/>
    <w:rsid w:val="00424DE9"/>
    <w:rsid w:val="00427774"/>
    <w:rsid w:val="00441C23"/>
    <w:rsid w:val="0045290E"/>
    <w:rsid w:val="0046122F"/>
    <w:rsid w:val="00466116"/>
    <w:rsid w:val="0046653D"/>
    <w:rsid w:val="00475879"/>
    <w:rsid w:val="00476D50"/>
    <w:rsid w:val="00480147"/>
    <w:rsid w:val="00484260"/>
    <w:rsid w:val="004A4286"/>
    <w:rsid w:val="004D66B2"/>
    <w:rsid w:val="004F1BBB"/>
    <w:rsid w:val="00505E16"/>
    <w:rsid w:val="00510BFE"/>
    <w:rsid w:val="00525565"/>
    <w:rsid w:val="005319AE"/>
    <w:rsid w:val="0054598E"/>
    <w:rsid w:val="00553842"/>
    <w:rsid w:val="00554A66"/>
    <w:rsid w:val="005577CC"/>
    <w:rsid w:val="005749DF"/>
    <w:rsid w:val="00575610"/>
    <w:rsid w:val="0057627B"/>
    <w:rsid w:val="00577627"/>
    <w:rsid w:val="005826D4"/>
    <w:rsid w:val="00582B7F"/>
    <w:rsid w:val="00582CBF"/>
    <w:rsid w:val="00587BDB"/>
    <w:rsid w:val="00590AE1"/>
    <w:rsid w:val="005A29A5"/>
    <w:rsid w:val="005A3603"/>
    <w:rsid w:val="005B28D9"/>
    <w:rsid w:val="005B68E7"/>
    <w:rsid w:val="005C2BC5"/>
    <w:rsid w:val="005D1DAD"/>
    <w:rsid w:val="005E0E11"/>
    <w:rsid w:val="005E5AD8"/>
    <w:rsid w:val="005E74E6"/>
    <w:rsid w:val="00606E25"/>
    <w:rsid w:val="00616288"/>
    <w:rsid w:val="00622924"/>
    <w:rsid w:val="0062498E"/>
    <w:rsid w:val="006431DC"/>
    <w:rsid w:val="00647DEC"/>
    <w:rsid w:val="0065422C"/>
    <w:rsid w:val="00657BED"/>
    <w:rsid w:val="006611B8"/>
    <w:rsid w:val="00663A57"/>
    <w:rsid w:val="006653FD"/>
    <w:rsid w:val="0066781E"/>
    <w:rsid w:val="00674340"/>
    <w:rsid w:val="00680628"/>
    <w:rsid w:val="0068644B"/>
    <w:rsid w:val="006A2FAF"/>
    <w:rsid w:val="006A53F5"/>
    <w:rsid w:val="006A685F"/>
    <w:rsid w:val="006A7516"/>
    <w:rsid w:val="006B29D1"/>
    <w:rsid w:val="006D1E28"/>
    <w:rsid w:val="006D6940"/>
    <w:rsid w:val="006E6276"/>
    <w:rsid w:val="006F68AA"/>
    <w:rsid w:val="00720718"/>
    <w:rsid w:val="00725226"/>
    <w:rsid w:val="007408AE"/>
    <w:rsid w:val="00746679"/>
    <w:rsid w:val="00752DE3"/>
    <w:rsid w:val="00757E2B"/>
    <w:rsid w:val="00764787"/>
    <w:rsid w:val="0077467F"/>
    <w:rsid w:val="007748C3"/>
    <w:rsid w:val="007750F1"/>
    <w:rsid w:val="007862F4"/>
    <w:rsid w:val="00786E15"/>
    <w:rsid w:val="007906E3"/>
    <w:rsid w:val="007A401D"/>
    <w:rsid w:val="007B1BF6"/>
    <w:rsid w:val="007B1CC0"/>
    <w:rsid w:val="007B1CC4"/>
    <w:rsid w:val="007B4B51"/>
    <w:rsid w:val="007D0D1E"/>
    <w:rsid w:val="007E09B9"/>
    <w:rsid w:val="007E2FA8"/>
    <w:rsid w:val="007E6CA6"/>
    <w:rsid w:val="00800A5D"/>
    <w:rsid w:val="00807332"/>
    <w:rsid w:val="00816B6E"/>
    <w:rsid w:val="0082058A"/>
    <w:rsid w:val="00826988"/>
    <w:rsid w:val="0083215A"/>
    <w:rsid w:val="008346CD"/>
    <w:rsid w:val="008406EE"/>
    <w:rsid w:val="00853AC6"/>
    <w:rsid w:val="008609A9"/>
    <w:rsid w:val="00866220"/>
    <w:rsid w:val="00890442"/>
    <w:rsid w:val="008B1F52"/>
    <w:rsid w:val="008B69DF"/>
    <w:rsid w:val="008D09A9"/>
    <w:rsid w:val="008D4990"/>
    <w:rsid w:val="008E033E"/>
    <w:rsid w:val="008E267C"/>
    <w:rsid w:val="008E42A6"/>
    <w:rsid w:val="00911076"/>
    <w:rsid w:val="0091332A"/>
    <w:rsid w:val="009237A6"/>
    <w:rsid w:val="00940963"/>
    <w:rsid w:val="00944246"/>
    <w:rsid w:val="009518A0"/>
    <w:rsid w:val="009635A7"/>
    <w:rsid w:val="00970BB4"/>
    <w:rsid w:val="009721CF"/>
    <w:rsid w:val="00995BAA"/>
    <w:rsid w:val="00997A70"/>
    <w:rsid w:val="009A5F27"/>
    <w:rsid w:val="009A65EF"/>
    <w:rsid w:val="009B55BF"/>
    <w:rsid w:val="009C2615"/>
    <w:rsid w:val="009E60A1"/>
    <w:rsid w:val="009F27A6"/>
    <w:rsid w:val="009F3DB6"/>
    <w:rsid w:val="00A11667"/>
    <w:rsid w:val="00A138A1"/>
    <w:rsid w:val="00A30B37"/>
    <w:rsid w:val="00A5496E"/>
    <w:rsid w:val="00A63D0D"/>
    <w:rsid w:val="00A667B3"/>
    <w:rsid w:val="00A81175"/>
    <w:rsid w:val="00A90721"/>
    <w:rsid w:val="00A93D9D"/>
    <w:rsid w:val="00A96E7D"/>
    <w:rsid w:val="00AA4B2E"/>
    <w:rsid w:val="00AC7D31"/>
    <w:rsid w:val="00AF3253"/>
    <w:rsid w:val="00AF6EBA"/>
    <w:rsid w:val="00AF78DE"/>
    <w:rsid w:val="00B05245"/>
    <w:rsid w:val="00B07047"/>
    <w:rsid w:val="00B135D0"/>
    <w:rsid w:val="00B16493"/>
    <w:rsid w:val="00B207E2"/>
    <w:rsid w:val="00B21651"/>
    <w:rsid w:val="00B247D1"/>
    <w:rsid w:val="00B25A36"/>
    <w:rsid w:val="00B5065C"/>
    <w:rsid w:val="00B54B2F"/>
    <w:rsid w:val="00B5597E"/>
    <w:rsid w:val="00B610A4"/>
    <w:rsid w:val="00B6190E"/>
    <w:rsid w:val="00B7492B"/>
    <w:rsid w:val="00B75C51"/>
    <w:rsid w:val="00B81F98"/>
    <w:rsid w:val="00B878DD"/>
    <w:rsid w:val="00B87E7F"/>
    <w:rsid w:val="00B928AF"/>
    <w:rsid w:val="00BA0846"/>
    <w:rsid w:val="00BA2E9B"/>
    <w:rsid w:val="00BA6C2A"/>
    <w:rsid w:val="00BB050B"/>
    <w:rsid w:val="00BB533F"/>
    <w:rsid w:val="00BC1B32"/>
    <w:rsid w:val="00BC5586"/>
    <w:rsid w:val="00BD23C5"/>
    <w:rsid w:val="00BD400C"/>
    <w:rsid w:val="00BD5B47"/>
    <w:rsid w:val="00BE0D2B"/>
    <w:rsid w:val="00BF68DC"/>
    <w:rsid w:val="00C015ED"/>
    <w:rsid w:val="00C11286"/>
    <w:rsid w:val="00C137E6"/>
    <w:rsid w:val="00C15829"/>
    <w:rsid w:val="00C248FD"/>
    <w:rsid w:val="00C31B24"/>
    <w:rsid w:val="00C35454"/>
    <w:rsid w:val="00C446A2"/>
    <w:rsid w:val="00C47247"/>
    <w:rsid w:val="00C53482"/>
    <w:rsid w:val="00C53EF9"/>
    <w:rsid w:val="00C7409F"/>
    <w:rsid w:val="00C8585D"/>
    <w:rsid w:val="00C8788D"/>
    <w:rsid w:val="00C91F7A"/>
    <w:rsid w:val="00C95F0E"/>
    <w:rsid w:val="00CB1CDD"/>
    <w:rsid w:val="00CD157C"/>
    <w:rsid w:val="00CE14D0"/>
    <w:rsid w:val="00CF3A5B"/>
    <w:rsid w:val="00CF4016"/>
    <w:rsid w:val="00D0349B"/>
    <w:rsid w:val="00D05ABC"/>
    <w:rsid w:val="00D159F0"/>
    <w:rsid w:val="00D160EC"/>
    <w:rsid w:val="00D24448"/>
    <w:rsid w:val="00D33C22"/>
    <w:rsid w:val="00D354C4"/>
    <w:rsid w:val="00D4397D"/>
    <w:rsid w:val="00D447D8"/>
    <w:rsid w:val="00D53E54"/>
    <w:rsid w:val="00D6561E"/>
    <w:rsid w:val="00D76B7B"/>
    <w:rsid w:val="00D775DD"/>
    <w:rsid w:val="00D9358A"/>
    <w:rsid w:val="00D95760"/>
    <w:rsid w:val="00DA1F1C"/>
    <w:rsid w:val="00DA5C88"/>
    <w:rsid w:val="00DA5F0C"/>
    <w:rsid w:val="00DB5292"/>
    <w:rsid w:val="00DC2FAB"/>
    <w:rsid w:val="00DD49B9"/>
    <w:rsid w:val="00DD5635"/>
    <w:rsid w:val="00DE2D7D"/>
    <w:rsid w:val="00E0667B"/>
    <w:rsid w:val="00E179E4"/>
    <w:rsid w:val="00E23983"/>
    <w:rsid w:val="00E24445"/>
    <w:rsid w:val="00E33264"/>
    <w:rsid w:val="00E370EA"/>
    <w:rsid w:val="00E3719C"/>
    <w:rsid w:val="00E40B63"/>
    <w:rsid w:val="00E520BA"/>
    <w:rsid w:val="00E6196B"/>
    <w:rsid w:val="00E8066E"/>
    <w:rsid w:val="00EA56C5"/>
    <w:rsid w:val="00EA6D12"/>
    <w:rsid w:val="00EB248B"/>
    <w:rsid w:val="00EB2B19"/>
    <w:rsid w:val="00EB5114"/>
    <w:rsid w:val="00EC42AE"/>
    <w:rsid w:val="00EC57A1"/>
    <w:rsid w:val="00ED51C1"/>
    <w:rsid w:val="00EE25A6"/>
    <w:rsid w:val="00EF0EB0"/>
    <w:rsid w:val="00F00F41"/>
    <w:rsid w:val="00F012BD"/>
    <w:rsid w:val="00F2224A"/>
    <w:rsid w:val="00F32FF4"/>
    <w:rsid w:val="00F4020D"/>
    <w:rsid w:val="00F412EC"/>
    <w:rsid w:val="00F57981"/>
    <w:rsid w:val="00F61966"/>
    <w:rsid w:val="00F72BD8"/>
    <w:rsid w:val="00FA4F0A"/>
    <w:rsid w:val="00FB1445"/>
    <w:rsid w:val="00FB1801"/>
    <w:rsid w:val="00FB6679"/>
    <w:rsid w:val="00FC2239"/>
    <w:rsid w:val="00FD2250"/>
    <w:rsid w:val="00FE19AD"/>
    <w:rsid w:val="00FF27A9"/>
    <w:rsid w:val="00FF2B6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B61D7F"/>
  <w15:docId w15:val="{A2F11E4F-4C4B-4E06-BBAE-21F560C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s-E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 w:type="paragraph" w:customStyle="1" w:styleId="Body">
    <w:name w:val="Body"/>
    <w:rsid w:val="000E7F48"/>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Link">
    <w:name w:val="Link"/>
    <w:rsid w:val="000E7F4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502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4DBB-6E46-48F0-B19C-252838B8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6547</Characters>
  <Application>Microsoft Office Word</Application>
  <DocSecurity>0</DocSecurity>
  <Lines>119</Lines>
  <Paragraphs>34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Coperion Blank Document</vt:lpstr>
      <vt:lpstr>Coperion Blank Document</vt:lpstr>
      <vt:lpstr>Coperion Blank Document</vt:lpstr>
    </vt:vector>
  </TitlesOfParts>
  <Company>Coperion</Company>
  <LinksUpToDate>false</LinksUpToDate>
  <CharactersWithSpaces>7678</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Koenig, Bettina</cp:lastModifiedBy>
  <cp:revision>3</cp:revision>
  <cp:lastPrinted>2019-09-09T06:50:00Z</cp:lastPrinted>
  <dcterms:created xsi:type="dcterms:W3CDTF">2022-01-17T08:24:00Z</dcterms:created>
  <dcterms:modified xsi:type="dcterms:W3CDTF">2022-01-17T10:24:00Z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