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E7F" w:rsidRDefault="008609A9" w:rsidP="00970BB4">
      <w:pPr>
        <w:pStyle w:val="Kontakt"/>
        <w:ind w:left="7230"/>
        <w:rPr>
          <w:b/>
        </w:rPr>
      </w:pPr>
      <w:r>
        <w:rPr>
          <w:b/>
        </w:rPr>
        <w:t>Contact</w:t>
      </w:r>
    </w:p>
    <w:p w:rsidR="00B87E7F" w:rsidRPr="00392AA7" w:rsidRDefault="008609A9">
      <w:pPr>
        <w:pStyle w:val="Kontakt"/>
        <w:ind w:left="7230"/>
      </w:pPr>
      <w:r>
        <w:t>Shari Lake</w:t>
      </w:r>
    </w:p>
    <w:p w:rsidR="00B87E7F" w:rsidRPr="00392AA7" w:rsidRDefault="000B7A88" w:rsidP="00A81175">
      <w:pPr>
        <w:pStyle w:val="Kontakt"/>
        <w:ind w:left="7230"/>
      </w:pPr>
      <w:r>
        <w:t>Director of Marketing</w:t>
      </w:r>
    </w:p>
    <w:p w:rsidR="00B87E7F" w:rsidRPr="00E0064A" w:rsidRDefault="00B87E7F" w:rsidP="00A81175">
      <w:pPr>
        <w:pStyle w:val="Kontakt"/>
        <w:ind w:left="7230" w:right="-511"/>
        <w:rPr>
          <w:lang w:val="it-IT"/>
        </w:rPr>
      </w:pPr>
      <w:r w:rsidRPr="00E0064A">
        <w:rPr>
          <w:lang w:val="it-IT"/>
        </w:rPr>
        <w:t xml:space="preserve">Coperion </w:t>
      </w:r>
      <w:r w:rsidR="008609A9" w:rsidRPr="00E0064A">
        <w:rPr>
          <w:lang w:val="it-IT"/>
        </w:rPr>
        <w:t>K-Tron Salina, Inc.</w:t>
      </w:r>
    </w:p>
    <w:p w:rsidR="008609A9" w:rsidRDefault="004067E8" w:rsidP="000B7A88">
      <w:pPr>
        <w:pStyle w:val="Kontakt"/>
        <w:ind w:left="7230"/>
      </w:pPr>
      <w:r>
        <w:rPr>
          <w:noProof/>
          <w:lang w:val="de-DE" w:eastAsia="zh-CN"/>
        </w:rPr>
        <w:drawing>
          <wp:anchor distT="0" distB="0" distL="114300" distR="114300" simplePos="0" relativeHeight="251658240" behindDoc="1" locked="0" layoutInCell="1" allowOverlap="1">
            <wp:simplePos x="0" y="0"/>
            <wp:positionH relativeFrom="column">
              <wp:posOffset>-78740</wp:posOffset>
            </wp:positionH>
            <wp:positionV relativeFrom="paragraph">
              <wp:posOffset>82550</wp:posOffset>
            </wp:positionV>
            <wp:extent cx="2249805" cy="600075"/>
            <wp:effectExtent l="0" t="0" r="0" b="0"/>
            <wp:wrapTight wrapText="bothSides">
              <wp:wrapPolygon edited="0">
                <wp:start x="17741" y="2743"/>
                <wp:lineTo x="914" y="6171"/>
                <wp:lineTo x="183" y="6857"/>
                <wp:lineTo x="183" y="17143"/>
                <wp:lineTo x="17741" y="19886"/>
                <wp:lineTo x="19204" y="19886"/>
                <wp:lineTo x="21399" y="16457"/>
                <wp:lineTo x="21399" y="8229"/>
                <wp:lineTo x="21033" y="6171"/>
                <wp:lineTo x="19204" y="2743"/>
                <wp:lineTo x="17741" y="2743"/>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terphex_logo.png"/>
                    <pic:cNvPicPr/>
                  </pic:nvPicPr>
                  <pic:blipFill>
                    <a:blip r:embed="rId9">
                      <a:extLst>
                        <a:ext uri="{28A0092B-C50C-407E-A947-70E740481C1C}">
                          <a14:useLocalDpi xmlns:a14="http://schemas.microsoft.com/office/drawing/2010/main" val="0"/>
                        </a:ext>
                      </a:extLst>
                    </a:blip>
                    <a:stretch>
                      <a:fillRect/>
                    </a:stretch>
                  </pic:blipFill>
                  <pic:spPr>
                    <a:xfrm>
                      <a:off x="0" y="0"/>
                      <a:ext cx="2249805" cy="600075"/>
                    </a:xfrm>
                    <a:prstGeom prst="rect">
                      <a:avLst/>
                    </a:prstGeom>
                  </pic:spPr>
                </pic:pic>
              </a:graphicData>
            </a:graphic>
            <wp14:sizeRelH relativeFrom="margin">
              <wp14:pctWidth>0</wp14:pctWidth>
            </wp14:sizeRelH>
            <wp14:sizeRelV relativeFrom="margin">
              <wp14:pctHeight>0</wp14:pctHeight>
            </wp14:sizeRelV>
          </wp:anchor>
        </w:drawing>
      </w:r>
      <w:r w:rsidR="000B7A88">
        <w:t>606 North Front Street</w:t>
      </w:r>
    </w:p>
    <w:p w:rsidR="00B87E7F" w:rsidRDefault="000B7A88" w:rsidP="00A81175">
      <w:pPr>
        <w:pStyle w:val="Kontakt"/>
        <w:ind w:left="7230"/>
      </w:pPr>
      <w:r>
        <w:t>Salina, KS 67401 USA</w:t>
      </w:r>
    </w:p>
    <w:p w:rsidR="00B87E7F" w:rsidRDefault="00B87E7F">
      <w:pPr>
        <w:pStyle w:val="Kontakt"/>
        <w:ind w:left="7230"/>
      </w:pPr>
    </w:p>
    <w:p w:rsidR="00B87E7F" w:rsidRDefault="008609A9" w:rsidP="00A81175">
      <w:pPr>
        <w:pStyle w:val="Kontakt"/>
        <w:ind w:left="7230"/>
      </w:pPr>
      <w:r>
        <w:t>Tele</w:t>
      </w:r>
      <w:r w:rsidR="001B1CFC">
        <w:t xml:space="preserve">phone </w:t>
      </w:r>
      <w:r w:rsidR="005375D7">
        <w:t>+</w:t>
      </w:r>
      <w:r w:rsidR="001B1CFC">
        <w:t>1</w:t>
      </w:r>
      <w:r>
        <w:t xml:space="preserve"> (785) 825-3884</w:t>
      </w:r>
    </w:p>
    <w:p w:rsidR="00B87E7F" w:rsidRDefault="004067E8" w:rsidP="00A81175">
      <w:pPr>
        <w:pStyle w:val="Kontakt"/>
        <w:ind w:left="7230" w:right="-186"/>
      </w:pPr>
      <w:r>
        <w:t>Shari.lake@coperion</w:t>
      </w:r>
      <w:r w:rsidR="008609A9">
        <w:t>.com</w:t>
      </w:r>
    </w:p>
    <w:p w:rsidR="00B87E7F" w:rsidRPr="004067E8" w:rsidRDefault="00B87E7F" w:rsidP="00A81175">
      <w:pPr>
        <w:pStyle w:val="Kontakt"/>
        <w:ind w:left="7230"/>
      </w:pPr>
      <w:r w:rsidRPr="004067E8">
        <w:t>www.</w:t>
      </w:r>
      <w:r w:rsidR="008609A9" w:rsidRPr="004067E8">
        <w:t>coperion</w:t>
      </w:r>
      <w:r w:rsidRPr="004067E8">
        <w:t>.com</w:t>
      </w:r>
    </w:p>
    <w:p w:rsidR="00357A64" w:rsidRPr="004067E8" w:rsidRDefault="004067E8" w:rsidP="00357A64">
      <w:pPr>
        <w:snapToGrid w:val="0"/>
        <w:spacing w:line="360" w:lineRule="auto"/>
        <w:ind w:left="-72"/>
        <w:rPr>
          <w:rFonts w:cs="Arial"/>
          <w:szCs w:val="22"/>
        </w:rPr>
      </w:pPr>
      <w:r w:rsidRPr="004067E8">
        <w:rPr>
          <w:rFonts w:cs="Arial"/>
          <w:szCs w:val="22"/>
        </w:rPr>
        <w:t>Booth no. 2261</w:t>
      </w:r>
    </w:p>
    <w:p w:rsidR="004067E8" w:rsidRDefault="004067E8" w:rsidP="000954FC">
      <w:pPr>
        <w:pStyle w:val="Pressemitteilung"/>
        <w:tabs>
          <w:tab w:val="left" w:pos="7200"/>
        </w:tabs>
      </w:pPr>
    </w:p>
    <w:p w:rsidR="008609A9" w:rsidRDefault="000B34C3" w:rsidP="000954FC">
      <w:pPr>
        <w:pStyle w:val="Pressemitteilung"/>
        <w:tabs>
          <w:tab w:val="left" w:pos="7200"/>
        </w:tabs>
      </w:pPr>
      <w:r>
        <w:t>Press</w:t>
      </w:r>
      <w:r w:rsidR="00A93D9D">
        <w:t xml:space="preserve"> Release</w:t>
      </w:r>
      <w:r w:rsidR="000954FC">
        <w:tab/>
      </w:r>
    </w:p>
    <w:p w:rsidR="008609A9" w:rsidRDefault="008609A9" w:rsidP="008609A9"/>
    <w:p w:rsidR="00B234F0" w:rsidRPr="00E0064A" w:rsidRDefault="00B234F0" w:rsidP="00B234F0">
      <w:pPr>
        <w:pStyle w:val="berschrift14p"/>
        <w:rPr>
          <w:bCs/>
          <w:szCs w:val="28"/>
        </w:rPr>
      </w:pPr>
      <w:r w:rsidRPr="00E0064A">
        <w:rPr>
          <w:bCs/>
          <w:szCs w:val="28"/>
        </w:rPr>
        <w:t>New</w:t>
      </w:r>
      <w:r w:rsidR="00EA1055" w:rsidRPr="00E0064A">
        <w:rPr>
          <w:bCs/>
          <w:szCs w:val="28"/>
        </w:rPr>
        <w:t xml:space="preserve"> Compact and Modular </w:t>
      </w:r>
      <w:r w:rsidRPr="00E0064A">
        <w:rPr>
          <w:bCs/>
          <w:szCs w:val="28"/>
        </w:rPr>
        <w:t xml:space="preserve">Pharmaceutical Feeder Design </w:t>
      </w:r>
    </w:p>
    <w:p w:rsidR="00EA1055" w:rsidRPr="00EA1055" w:rsidRDefault="00EA1055" w:rsidP="00EA1055"/>
    <w:p w:rsidR="00B234F0" w:rsidRPr="00B234F0" w:rsidRDefault="00712E38" w:rsidP="00B234F0">
      <w:pPr>
        <w:pStyle w:val="berschrift14p"/>
        <w:rPr>
          <w:bCs/>
          <w:sz w:val="24"/>
          <w:szCs w:val="24"/>
        </w:rPr>
      </w:pPr>
      <w:r>
        <w:rPr>
          <w:bCs/>
          <w:sz w:val="24"/>
          <w:szCs w:val="24"/>
        </w:rPr>
        <w:t>Coperion K-Tron introduces h</w:t>
      </w:r>
      <w:r w:rsidR="00B234F0" w:rsidRPr="00B234F0">
        <w:rPr>
          <w:bCs/>
          <w:sz w:val="24"/>
          <w:szCs w:val="24"/>
        </w:rPr>
        <w:t xml:space="preserve">ighly accurate feeding solution </w:t>
      </w:r>
      <w:r>
        <w:rPr>
          <w:bCs/>
          <w:sz w:val="24"/>
          <w:szCs w:val="24"/>
        </w:rPr>
        <w:t xml:space="preserve">at </w:t>
      </w:r>
      <w:proofErr w:type="spellStart"/>
      <w:r>
        <w:rPr>
          <w:bCs/>
          <w:sz w:val="24"/>
          <w:szCs w:val="24"/>
        </w:rPr>
        <w:t>Interphex</w:t>
      </w:r>
      <w:proofErr w:type="spellEnd"/>
      <w:r>
        <w:rPr>
          <w:bCs/>
          <w:sz w:val="24"/>
          <w:szCs w:val="24"/>
        </w:rPr>
        <w:t xml:space="preserve"> 2018</w:t>
      </w:r>
    </w:p>
    <w:p w:rsidR="00BC01A3" w:rsidRPr="00E0064A" w:rsidRDefault="00AB1BDF" w:rsidP="00785EAC">
      <w:pPr>
        <w:suppressAutoHyphens/>
        <w:spacing w:before="240" w:line="360" w:lineRule="auto"/>
        <w:rPr>
          <w:rFonts w:cs="Arial"/>
          <w:szCs w:val="22"/>
          <w:lang w:val="en-GB" w:eastAsia="ar-SA"/>
        </w:rPr>
      </w:pPr>
      <w:r>
        <w:rPr>
          <w:rFonts w:cs="Arial"/>
          <w:i/>
          <w:szCs w:val="22"/>
          <w:lang w:val="en-GB" w:eastAsia="ar-SA"/>
        </w:rPr>
        <w:t>Sewell, USA (</w:t>
      </w:r>
      <w:r w:rsidR="00785EAC">
        <w:rPr>
          <w:rFonts w:cs="Arial"/>
          <w:i/>
          <w:szCs w:val="22"/>
          <w:lang w:val="en-GB" w:eastAsia="ar-SA"/>
        </w:rPr>
        <w:t>February</w:t>
      </w:r>
      <w:bookmarkStart w:id="0" w:name="_GoBack"/>
      <w:bookmarkEnd w:id="0"/>
      <w:r>
        <w:rPr>
          <w:rFonts w:cs="Arial"/>
          <w:i/>
          <w:szCs w:val="22"/>
          <w:lang w:val="en-GB" w:eastAsia="ar-SA"/>
        </w:rPr>
        <w:t xml:space="preserve"> 201</w:t>
      </w:r>
      <w:r w:rsidR="008815B2">
        <w:rPr>
          <w:rFonts w:cs="Arial"/>
          <w:i/>
          <w:szCs w:val="22"/>
          <w:lang w:val="en-GB" w:eastAsia="ar-SA"/>
        </w:rPr>
        <w:t>8</w:t>
      </w:r>
      <w:r w:rsidR="00B234F0">
        <w:rPr>
          <w:rFonts w:cs="Arial"/>
          <w:i/>
          <w:szCs w:val="22"/>
          <w:lang w:val="en-GB" w:eastAsia="ar-SA"/>
        </w:rPr>
        <w:t>)</w:t>
      </w:r>
      <w:r w:rsidRPr="0022604A">
        <w:rPr>
          <w:rFonts w:cs="Arial"/>
          <w:i/>
          <w:szCs w:val="22"/>
          <w:lang w:val="en-GB" w:eastAsia="ar-SA"/>
        </w:rPr>
        <w:t xml:space="preserve"> –</w:t>
      </w:r>
      <w:r w:rsidRPr="0022604A">
        <w:rPr>
          <w:rFonts w:cs="Arial"/>
          <w:szCs w:val="22"/>
          <w:lang w:val="en-GB" w:eastAsia="ar-SA"/>
        </w:rPr>
        <w:t xml:space="preserve"> </w:t>
      </w:r>
      <w:r w:rsidR="00B234F0" w:rsidRPr="00E0064A">
        <w:rPr>
          <w:rFonts w:cs="Arial"/>
          <w:szCs w:val="22"/>
          <w:lang w:val="en-GB" w:eastAsia="ar-SA"/>
        </w:rPr>
        <w:t>To meet the growing demands of continuous processing in pharmaceutical applications</w:t>
      </w:r>
      <w:r w:rsidR="00EA1055" w:rsidRPr="00E0064A">
        <w:rPr>
          <w:rFonts w:cs="Arial"/>
          <w:szCs w:val="22"/>
          <w:lang w:val="en-GB" w:eastAsia="ar-SA"/>
        </w:rPr>
        <w:t xml:space="preserve"> and also address similar requirements for quick changeover and cleaning in batch applications</w:t>
      </w:r>
      <w:r w:rsidR="00B234F0" w:rsidRPr="00E0064A">
        <w:rPr>
          <w:rFonts w:cs="Arial"/>
          <w:szCs w:val="22"/>
          <w:lang w:val="en-GB" w:eastAsia="ar-SA"/>
        </w:rPr>
        <w:t xml:space="preserve">, Coperion K-Tron </w:t>
      </w:r>
      <w:r w:rsidR="004067E8" w:rsidRPr="00E0064A">
        <w:rPr>
          <w:rFonts w:cs="Arial"/>
          <w:szCs w:val="22"/>
          <w:lang w:val="en-GB" w:eastAsia="ar-SA"/>
        </w:rPr>
        <w:t>introduces</w:t>
      </w:r>
      <w:r w:rsidR="00B234F0" w:rsidRPr="00E0064A">
        <w:rPr>
          <w:rFonts w:cs="Arial"/>
          <w:szCs w:val="22"/>
          <w:lang w:val="en-GB" w:eastAsia="ar-SA"/>
        </w:rPr>
        <w:t xml:space="preserve"> the next generation of its highly accurate </w:t>
      </w:r>
      <w:r w:rsidR="00BC01A3" w:rsidRPr="00E0064A">
        <w:rPr>
          <w:rStyle w:val="Hyperlink"/>
          <w:color w:val="auto"/>
          <w:u w:val="none"/>
        </w:rPr>
        <w:t>pharmaceutical loss-in-weight screw feeders</w:t>
      </w:r>
      <w:r w:rsidR="00B234F0" w:rsidRPr="00E0064A">
        <w:rPr>
          <w:rFonts w:cs="Arial"/>
          <w:szCs w:val="22"/>
          <w:lang w:val="en-GB" w:eastAsia="ar-SA"/>
        </w:rPr>
        <w:t xml:space="preserve"> at</w:t>
      </w:r>
      <w:r w:rsidRPr="00E0064A">
        <w:rPr>
          <w:rFonts w:cs="Arial"/>
          <w:szCs w:val="22"/>
          <w:lang w:val="en-GB" w:eastAsia="ar-SA"/>
        </w:rPr>
        <w:t xml:space="preserve"> this year’s </w:t>
      </w:r>
      <w:proofErr w:type="spellStart"/>
      <w:r w:rsidRPr="00E0064A">
        <w:rPr>
          <w:rFonts w:cs="Arial"/>
          <w:szCs w:val="22"/>
          <w:lang w:val="en-GB" w:eastAsia="ar-SA"/>
        </w:rPr>
        <w:t>Interphex</w:t>
      </w:r>
      <w:proofErr w:type="spellEnd"/>
      <w:r w:rsidRPr="00E0064A">
        <w:rPr>
          <w:rFonts w:cs="Arial"/>
          <w:szCs w:val="22"/>
          <w:lang w:val="en-GB" w:eastAsia="ar-SA"/>
        </w:rPr>
        <w:t xml:space="preserve">, </w:t>
      </w:r>
      <w:r w:rsidR="008815B2" w:rsidRPr="00E0064A">
        <w:rPr>
          <w:rFonts w:cs="Arial"/>
          <w:szCs w:val="22"/>
          <w:lang w:val="en-GB" w:eastAsia="ar-SA"/>
        </w:rPr>
        <w:t>April</w:t>
      </w:r>
      <w:r w:rsidRPr="00E0064A">
        <w:rPr>
          <w:rFonts w:cs="Arial"/>
          <w:szCs w:val="22"/>
          <w:lang w:val="en-GB" w:eastAsia="ar-SA"/>
        </w:rPr>
        <w:t xml:space="preserve"> </w:t>
      </w:r>
      <w:r w:rsidR="008815B2" w:rsidRPr="00E0064A">
        <w:rPr>
          <w:rFonts w:cs="Arial"/>
          <w:szCs w:val="22"/>
          <w:lang w:val="en-GB" w:eastAsia="ar-SA"/>
        </w:rPr>
        <w:t>17</w:t>
      </w:r>
      <w:r w:rsidRPr="00E0064A">
        <w:rPr>
          <w:rFonts w:cs="Arial"/>
          <w:szCs w:val="22"/>
          <w:lang w:val="en-GB" w:eastAsia="ar-SA"/>
        </w:rPr>
        <w:t>-</w:t>
      </w:r>
      <w:r w:rsidR="008815B2" w:rsidRPr="00E0064A">
        <w:rPr>
          <w:rFonts w:cs="Arial"/>
          <w:szCs w:val="22"/>
          <w:lang w:val="en-GB" w:eastAsia="ar-SA"/>
        </w:rPr>
        <w:t>19</w:t>
      </w:r>
      <w:r w:rsidRPr="00E0064A">
        <w:rPr>
          <w:rFonts w:cs="Arial"/>
          <w:szCs w:val="22"/>
          <w:lang w:val="en-GB" w:eastAsia="ar-SA"/>
        </w:rPr>
        <w:t>, 201</w:t>
      </w:r>
      <w:r w:rsidR="008815B2" w:rsidRPr="00E0064A">
        <w:rPr>
          <w:rFonts w:cs="Arial"/>
          <w:szCs w:val="22"/>
          <w:lang w:val="en-GB" w:eastAsia="ar-SA"/>
        </w:rPr>
        <w:t>8</w:t>
      </w:r>
      <w:r w:rsidRPr="00E0064A">
        <w:rPr>
          <w:rFonts w:cs="Arial"/>
          <w:szCs w:val="22"/>
          <w:lang w:val="en-GB" w:eastAsia="ar-SA"/>
        </w:rPr>
        <w:t xml:space="preserve">, Jacob </w:t>
      </w:r>
      <w:proofErr w:type="spellStart"/>
      <w:r w:rsidRPr="00E0064A">
        <w:rPr>
          <w:rFonts w:cs="Arial"/>
          <w:szCs w:val="22"/>
          <w:lang w:val="en-GB" w:eastAsia="ar-SA"/>
        </w:rPr>
        <w:t>Javits</w:t>
      </w:r>
      <w:proofErr w:type="spellEnd"/>
      <w:r w:rsidRPr="00E0064A">
        <w:rPr>
          <w:rFonts w:cs="Arial"/>
          <w:szCs w:val="22"/>
          <w:lang w:val="en-GB" w:eastAsia="ar-SA"/>
        </w:rPr>
        <w:t xml:space="preserve"> Convention </w:t>
      </w:r>
      <w:proofErr w:type="spellStart"/>
      <w:r w:rsidRPr="00E0064A">
        <w:rPr>
          <w:rFonts w:cs="Arial"/>
          <w:szCs w:val="22"/>
          <w:lang w:val="en-GB" w:eastAsia="ar-SA"/>
        </w:rPr>
        <w:t>Center</w:t>
      </w:r>
      <w:proofErr w:type="spellEnd"/>
      <w:r w:rsidRPr="00E0064A">
        <w:rPr>
          <w:rFonts w:cs="Arial"/>
          <w:szCs w:val="22"/>
          <w:lang w:val="en-GB" w:eastAsia="ar-SA"/>
        </w:rPr>
        <w:t xml:space="preserve"> in New York City, Booth </w:t>
      </w:r>
      <w:r w:rsidR="008815B2" w:rsidRPr="00E0064A">
        <w:rPr>
          <w:rFonts w:cs="Arial"/>
          <w:szCs w:val="22"/>
          <w:lang w:val="en-GB" w:eastAsia="ar-SA"/>
        </w:rPr>
        <w:t>2261</w:t>
      </w:r>
      <w:r w:rsidR="00BC01A3" w:rsidRPr="00E0064A">
        <w:rPr>
          <w:rFonts w:cs="Arial"/>
          <w:szCs w:val="22"/>
          <w:lang w:val="en-GB" w:eastAsia="ar-SA"/>
        </w:rPr>
        <w:t>.</w:t>
      </w:r>
    </w:p>
    <w:p w:rsidR="00AB1BDF" w:rsidRDefault="00BC01A3" w:rsidP="00AB1BDF">
      <w:pPr>
        <w:suppressAutoHyphens/>
        <w:spacing w:before="240" w:line="360" w:lineRule="auto"/>
        <w:rPr>
          <w:rFonts w:cs="Arial"/>
          <w:szCs w:val="22"/>
          <w:lang w:val="en-GB" w:eastAsia="ar-SA"/>
        </w:rPr>
      </w:pPr>
      <w:r w:rsidRPr="00E0064A">
        <w:rPr>
          <w:rFonts w:cs="Arial"/>
          <w:szCs w:val="22"/>
          <w:lang w:val="en-GB" w:eastAsia="ar-SA"/>
        </w:rPr>
        <w:t>In their booth, C</w:t>
      </w:r>
      <w:r w:rsidR="00AB1BDF" w:rsidRPr="00E0064A">
        <w:rPr>
          <w:rFonts w:cs="Arial"/>
          <w:szCs w:val="22"/>
          <w:lang w:val="en-GB" w:eastAsia="ar-SA"/>
        </w:rPr>
        <w:t xml:space="preserve">operion and Coperion K-Tron will </w:t>
      </w:r>
      <w:r w:rsidR="00AB1BDF" w:rsidRPr="00E0064A">
        <w:rPr>
          <w:rFonts w:cs="Arial"/>
          <w:sz w:val="21"/>
          <w:szCs w:val="21"/>
        </w:rPr>
        <w:t xml:space="preserve">focus on </w:t>
      </w:r>
      <w:r w:rsidR="00EA1055" w:rsidRPr="00E0064A">
        <w:rPr>
          <w:rFonts w:cs="Arial"/>
          <w:sz w:val="21"/>
          <w:szCs w:val="21"/>
        </w:rPr>
        <w:t xml:space="preserve">both </w:t>
      </w:r>
      <w:r w:rsidR="00AB1BDF" w:rsidRPr="00E0064A">
        <w:rPr>
          <w:rFonts w:cs="Arial"/>
          <w:szCs w:val="22"/>
        </w:rPr>
        <w:t xml:space="preserve">continuous </w:t>
      </w:r>
      <w:r w:rsidR="00EA1055" w:rsidRPr="00E0064A">
        <w:rPr>
          <w:rFonts w:cs="Arial"/>
          <w:szCs w:val="22"/>
        </w:rPr>
        <w:t xml:space="preserve">and batch </w:t>
      </w:r>
      <w:r w:rsidR="00AB1BDF" w:rsidRPr="00E0064A">
        <w:rPr>
          <w:rFonts w:cs="Arial"/>
          <w:szCs w:val="22"/>
        </w:rPr>
        <w:t>process</w:t>
      </w:r>
      <w:r w:rsidR="00EA1055" w:rsidRPr="00E0064A">
        <w:rPr>
          <w:rFonts w:cs="Arial"/>
          <w:szCs w:val="22"/>
        </w:rPr>
        <w:t>es</w:t>
      </w:r>
      <w:r w:rsidR="00AB1BDF" w:rsidRPr="00E0064A">
        <w:rPr>
          <w:rFonts w:cs="Arial"/>
          <w:szCs w:val="22"/>
        </w:rPr>
        <w:t xml:space="preserve"> and their newest </w:t>
      </w:r>
      <w:r w:rsidR="00EA1055" w:rsidRPr="00E0064A">
        <w:rPr>
          <w:rFonts w:cs="Arial"/>
          <w:szCs w:val="22"/>
        </w:rPr>
        <w:t xml:space="preserve">innovative </w:t>
      </w:r>
      <w:r w:rsidR="00AB1BDF" w:rsidRPr="00E0064A">
        <w:rPr>
          <w:rFonts w:cs="Arial"/>
          <w:szCs w:val="22"/>
        </w:rPr>
        <w:t>solutions for opt</w:t>
      </w:r>
      <w:r w:rsidR="003603C8" w:rsidRPr="00E0064A">
        <w:rPr>
          <w:rFonts w:cs="Arial"/>
          <w:szCs w:val="22"/>
        </w:rPr>
        <w:t xml:space="preserve">imal feeding </w:t>
      </w:r>
      <w:r w:rsidR="00BB7684" w:rsidRPr="00E0064A">
        <w:rPr>
          <w:rFonts w:cs="Arial"/>
          <w:szCs w:val="22"/>
        </w:rPr>
        <w:t xml:space="preserve">and refill accuracy, while </w:t>
      </w:r>
      <w:r w:rsidR="00B06209" w:rsidRPr="00E0064A">
        <w:rPr>
          <w:rFonts w:cs="Arial"/>
          <w:szCs w:val="22"/>
        </w:rPr>
        <w:t>demonstrating</w:t>
      </w:r>
      <w:r w:rsidR="00BB7684" w:rsidRPr="00E0064A">
        <w:rPr>
          <w:rFonts w:cs="Arial"/>
          <w:szCs w:val="22"/>
        </w:rPr>
        <w:t xml:space="preserve"> how</w:t>
      </w:r>
      <w:r w:rsidR="00B06209" w:rsidRPr="00E0064A">
        <w:rPr>
          <w:rFonts w:cs="Arial"/>
          <w:szCs w:val="22"/>
        </w:rPr>
        <w:t xml:space="preserve"> they</w:t>
      </w:r>
      <w:r w:rsidR="00BB7684" w:rsidRPr="00E0064A">
        <w:rPr>
          <w:rFonts w:cs="Arial"/>
          <w:szCs w:val="22"/>
        </w:rPr>
        <w:t xml:space="preserve"> </w:t>
      </w:r>
      <w:r w:rsidR="00B06209" w:rsidRPr="00E0064A">
        <w:rPr>
          <w:rFonts w:cs="Arial"/>
          <w:shd w:val="clear" w:color="auto" w:fill="FFFFFF"/>
        </w:rPr>
        <w:t xml:space="preserve">provide single source solutions for extrusion, feeding and conveying applications in the pharmaceutical and nutraceutical industries. They continue </w:t>
      </w:r>
      <w:r w:rsidR="00B06209">
        <w:rPr>
          <w:rFonts w:cs="Arial"/>
          <w:color w:val="111111"/>
          <w:shd w:val="clear" w:color="auto" w:fill="FFFFFF"/>
        </w:rPr>
        <w:t>to work closely with pharmaceutical and nutraceutical companies of all sizes, resulting in smart technical solutions such as the new pharmaceutical feeder line, always with an emphasis on product quality and process safety.</w:t>
      </w:r>
      <w:r w:rsidR="00B06209">
        <w:rPr>
          <w:rFonts w:cs="Arial"/>
          <w:szCs w:val="22"/>
          <w:lang w:val="en-GB" w:eastAsia="ar-SA"/>
        </w:rPr>
        <w:t xml:space="preserve"> </w:t>
      </w:r>
      <w:r w:rsidR="00AB1BDF">
        <w:rPr>
          <w:rFonts w:cs="Arial"/>
          <w:szCs w:val="22"/>
          <w:lang w:val="en-GB" w:eastAsia="ar-SA"/>
        </w:rPr>
        <w:t xml:space="preserve">Exhibits on display include </w:t>
      </w:r>
      <w:r w:rsidR="00BB7684">
        <w:rPr>
          <w:rFonts w:cs="Arial"/>
          <w:szCs w:val="22"/>
          <w:lang w:val="en-GB" w:eastAsia="ar-SA"/>
        </w:rPr>
        <w:t>the new K3-PH loss-in-weight feeders</w:t>
      </w:r>
      <w:r w:rsidR="00FB185A">
        <w:rPr>
          <w:rFonts w:cs="Arial"/>
          <w:szCs w:val="22"/>
          <w:lang w:val="en-GB" w:eastAsia="ar-SA"/>
        </w:rPr>
        <w:t xml:space="preserve"> (QT20 and QT35)</w:t>
      </w:r>
      <w:r w:rsidR="00BB7684">
        <w:rPr>
          <w:rFonts w:cs="Arial"/>
          <w:szCs w:val="22"/>
          <w:lang w:val="en-GB" w:eastAsia="ar-SA"/>
        </w:rPr>
        <w:t>,</w:t>
      </w:r>
      <w:r w:rsidR="003603C8">
        <w:rPr>
          <w:rFonts w:cs="Arial"/>
          <w:szCs w:val="22"/>
          <w:lang w:val="en-GB" w:eastAsia="ar-SA"/>
        </w:rPr>
        <w:t xml:space="preserve"> as well as</w:t>
      </w:r>
      <w:r w:rsidR="00BB7684">
        <w:rPr>
          <w:rFonts w:cs="Arial"/>
          <w:szCs w:val="22"/>
          <w:lang w:val="en-GB" w:eastAsia="ar-SA"/>
        </w:rPr>
        <w:t xml:space="preserve"> micro-ingredient f</w:t>
      </w:r>
      <w:r w:rsidR="00AB1BDF" w:rsidRPr="00D64FCD">
        <w:rPr>
          <w:rFonts w:cs="Arial"/>
          <w:szCs w:val="22"/>
          <w:lang w:val="en-GB" w:eastAsia="ar-SA"/>
        </w:rPr>
        <w:t>eeder</w:t>
      </w:r>
      <w:r w:rsidR="00FB185A">
        <w:rPr>
          <w:rFonts w:cs="Arial"/>
          <w:szCs w:val="22"/>
          <w:lang w:val="en-GB" w:eastAsia="ar-SA"/>
        </w:rPr>
        <w:t xml:space="preserve"> (MT12)</w:t>
      </w:r>
      <w:r w:rsidR="00AB1BDF">
        <w:rPr>
          <w:rFonts w:cs="Arial"/>
          <w:szCs w:val="22"/>
          <w:lang w:val="en-GB" w:eastAsia="ar-SA"/>
        </w:rPr>
        <w:t xml:space="preserve"> with</w:t>
      </w:r>
      <w:r w:rsidR="00AB1BDF" w:rsidRPr="00D64FCD">
        <w:rPr>
          <w:rFonts w:cs="Arial"/>
          <w:szCs w:val="22"/>
          <w:lang w:val="en-GB" w:eastAsia="ar-SA"/>
        </w:rPr>
        <w:t xml:space="preserve"> interchangeable twin</w:t>
      </w:r>
      <w:r w:rsidR="00AB1BDF">
        <w:rPr>
          <w:rFonts w:cs="Arial"/>
          <w:szCs w:val="22"/>
          <w:lang w:val="en-GB" w:eastAsia="ar-SA"/>
        </w:rPr>
        <w:t xml:space="preserve"> and single</w:t>
      </w:r>
      <w:r w:rsidR="00AB1BDF" w:rsidRPr="00D64FCD">
        <w:rPr>
          <w:rFonts w:cs="Arial"/>
          <w:szCs w:val="22"/>
          <w:lang w:val="en-GB" w:eastAsia="ar-SA"/>
        </w:rPr>
        <w:t xml:space="preserve"> screw feeding modules</w:t>
      </w:r>
      <w:r w:rsidR="00B06209">
        <w:rPr>
          <w:rFonts w:cs="Arial"/>
          <w:szCs w:val="22"/>
          <w:lang w:val="en-GB" w:eastAsia="ar-SA"/>
        </w:rPr>
        <w:t xml:space="preserve">, </w:t>
      </w:r>
      <w:r w:rsidR="00AB1BDF" w:rsidRPr="00D64FCD">
        <w:rPr>
          <w:rFonts w:cs="Arial"/>
          <w:szCs w:val="22"/>
          <w:lang w:val="en-GB" w:eastAsia="ar-SA"/>
        </w:rPr>
        <w:t>P</w:t>
      </w:r>
      <w:r w:rsidR="00705682">
        <w:rPr>
          <w:rFonts w:cs="Arial"/>
          <w:szCs w:val="22"/>
          <w:lang w:val="en-GB" w:eastAsia="ar-SA"/>
        </w:rPr>
        <w:t>1</w:t>
      </w:r>
      <w:r w:rsidR="00AB1BDF" w:rsidRPr="00D64FCD">
        <w:rPr>
          <w:rFonts w:cs="Arial"/>
          <w:szCs w:val="22"/>
          <w:lang w:val="en-GB" w:eastAsia="ar-SA"/>
        </w:rPr>
        <w:t xml:space="preserve">0 </w:t>
      </w:r>
      <w:r w:rsidR="00705682">
        <w:rPr>
          <w:rFonts w:cs="Arial"/>
          <w:szCs w:val="22"/>
          <w:lang w:val="en-GB" w:eastAsia="ar-SA"/>
        </w:rPr>
        <w:t xml:space="preserve">vacuum sequencing </w:t>
      </w:r>
      <w:r w:rsidR="00AB1BDF">
        <w:rPr>
          <w:rFonts w:cs="Arial"/>
          <w:szCs w:val="22"/>
          <w:lang w:val="en-GB" w:eastAsia="ar-SA"/>
        </w:rPr>
        <w:t xml:space="preserve">sanitary </w:t>
      </w:r>
      <w:r w:rsidR="00AB1BDF" w:rsidRPr="00D64FCD">
        <w:rPr>
          <w:rFonts w:cs="Arial"/>
          <w:szCs w:val="22"/>
          <w:lang w:val="en-GB" w:eastAsia="ar-SA"/>
        </w:rPr>
        <w:t>powder receiver</w:t>
      </w:r>
      <w:r w:rsidR="003603C8">
        <w:rPr>
          <w:rFonts w:cs="Arial"/>
          <w:szCs w:val="22"/>
          <w:lang w:val="en-GB" w:eastAsia="ar-SA"/>
        </w:rPr>
        <w:t xml:space="preserve"> and the</w:t>
      </w:r>
      <w:r w:rsidR="00AB1BDF">
        <w:rPr>
          <w:rFonts w:cs="Arial"/>
          <w:szCs w:val="22"/>
          <w:lang w:val="en-GB" w:eastAsia="ar-SA"/>
        </w:rPr>
        <w:t xml:space="preserve"> hygienic low capacity </w:t>
      </w:r>
      <w:r w:rsidR="003603C8">
        <w:rPr>
          <w:rFonts w:cs="Arial"/>
          <w:szCs w:val="22"/>
          <w:lang w:val="en-GB" w:eastAsia="ar-SA"/>
        </w:rPr>
        <w:t xml:space="preserve">ZZB </w:t>
      </w:r>
      <w:r w:rsidR="00AB1BDF">
        <w:rPr>
          <w:rFonts w:cs="Arial"/>
          <w:szCs w:val="22"/>
          <w:lang w:val="en-GB" w:eastAsia="ar-SA"/>
        </w:rPr>
        <w:t>rotary valve, a perfect design f</w:t>
      </w:r>
      <w:r w:rsidR="00B06209">
        <w:rPr>
          <w:rFonts w:cs="Arial"/>
          <w:szCs w:val="22"/>
          <w:lang w:val="en-GB" w:eastAsia="ar-SA"/>
        </w:rPr>
        <w:t>or pharmaceutical applications.</w:t>
      </w:r>
    </w:p>
    <w:p w:rsidR="00AB1BDF" w:rsidRDefault="00AB1BDF" w:rsidP="00AB1BDF">
      <w:pPr>
        <w:spacing w:line="360" w:lineRule="auto"/>
        <w:rPr>
          <w:rFonts w:cs="Arial"/>
          <w:bCs/>
          <w:szCs w:val="22"/>
          <w:lang w:val="en-GB" w:eastAsia="ar-SA"/>
        </w:rPr>
      </w:pPr>
    </w:p>
    <w:p w:rsidR="00BC01A3" w:rsidRDefault="00BC01A3" w:rsidP="00BC01A3">
      <w:pPr>
        <w:suppressAutoHyphens/>
        <w:spacing w:line="360" w:lineRule="auto"/>
        <w:rPr>
          <w:rFonts w:cs="Arial"/>
          <w:b/>
          <w:sz w:val="24"/>
          <w:lang w:eastAsia="ar-SA"/>
        </w:rPr>
      </w:pPr>
      <w:r>
        <w:rPr>
          <w:rFonts w:cs="Arial"/>
          <w:b/>
          <w:sz w:val="24"/>
          <w:lang w:eastAsia="ar-SA"/>
        </w:rPr>
        <w:t xml:space="preserve">New Coperion K-Tron </w:t>
      </w:r>
      <w:r w:rsidRPr="00BC01A3">
        <w:rPr>
          <w:rFonts w:cs="Arial"/>
          <w:b/>
          <w:sz w:val="24"/>
          <w:lang w:eastAsia="ar-SA"/>
        </w:rPr>
        <w:t xml:space="preserve">K3-PH line of </w:t>
      </w:r>
      <w:r>
        <w:rPr>
          <w:rFonts w:cs="Arial"/>
          <w:b/>
          <w:sz w:val="24"/>
          <w:lang w:eastAsia="ar-SA"/>
        </w:rPr>
        <w:t>pharmaceutical loss-in-weight feeders</w:t>
      </w:r>
    </w:p>
    <w:p w:rsidR="00545086" w:rsidRDefault="007974BD" w:rsidP="00AB1BDF">
      <w:pPr>
        <w:spacing w:line="360" w:lineRule="auto"/>
      </w:pPr>
      <w:r>
        <w:t>The new K3-PH feeder design features a modular concept</w:t>
      </w:r>
      <w:r w:rsidR="00CA7844">
        <w:t>,</w:t>
      </w:r>
      <w:r>
        <w:t xml:space="preserve"> complete with a drastically reduced overall footprint</w:t>
      </w:r>
      <w:r w:rsidR="00CA7844">
        <w:t>, thanks to a</w:t>
      </w:r>
      <w:r>
        <w:t xml:space="preserve"> smaller D4 platform scale incorporating the patented and highly </w:t>
      </w:r>
      <w:r>
        <w:lastRenderedPageBreak/>
        <w:t xml:space="preserve">accurate Smart Force Transducer (SFT) weighing technology. </w:t>
      </w:r>
      <w:r w:rsidR="00545086">
        <w:t xml:space="preserve">The new D4 platform scale features the same state-of-the-art sanitary design of the established Coperion K-Tron D5 scale. Smooth, crevice free surfaces prevent deposit of dust and product residue and enable easy cleaning. At the heart of the new D4 scale, Coperion K-Tron’s patented SFT single wire weighing technology provides a highly accurate weight signal with a resolution of 1:4,000,000 in 80 </w:t>
      </w:r>
      <w:proofErr w:type="spellStart"/>
      <w:r w:rsidR="00545086">
        <w:t>ms.</w:t>
      </w:r>
      <w:proofErr w:type="spellEnd"/>
      <w:r w:rsidR="00545086">
        <w:t xml:space="preserve"> The advanced electronics include linearization, temperature compensation</w:t>
      </w:r>
      <w:r w:rsidR="00D50C40">
        <w:t>,</w:t>
      </w:r>
      <w:r w:rsidR="00545086">
        <w:t xml:space="preserve"> and a digital low-pass filter to reduce the effect of plant vibration. The 100% digital design eliminates the need for calibration.</w:t>
      </w:r>
    </w:p>
    <w:p w:rsidR="00545086" w:rsidRDefault="00545086" w:rsidP="00AB1BDF">
      <w:pPr>
        <w:spacing w:line="360" w:lineRule="auto"/>
      </w:pPr>
    </w:p>
    <w:p w:rsidR="00BC01A3" w:rsidRDefault="007974BD" w:rsidP="00AB1BDF">
      <w:pPr>
        <w:spacing w:line="360" w:lineRule="auto"/>
      </w:pPr>
      <w:r>
        <w:t xml:space="preserve">The </w:t>
      </w:r>
      <w:r w:rsidR="00545086">
        <w:t xml:space="preserve">feeder’s </w:t>
      </w:r>
      <w:r>
        <w:t xml:space="preserve">modular quick change design allows the easy exchange of feeder types and sizes as well as hoppers or agitators using the same scale &amp; drive for fast adaptation to new processes and formulations while also ensuring easy cleaning and maintenance. The new design is ideal for multi feeder clustering in a variety of continuous processes, including direct compression (CDC), continuous extrusion, wet and dry granulation, and continuous coating, as well as traditional batch processes. The new modular pharmaceutical feeder design includes several innovative modifications, all engineered as a result of in-depth market studies with end users in the pharmaceutical industry. The quick change feeder bowl, agitator and screw combinations which can be quickly decoupled from the feeder drive provide for easy and fast changeover and cleaning of the feeders. By opening two clamps the feeder bowl can be released and replaced by a clean one for running a new product. The three available Coperion K-Tron feeder types QT20, QT35 and QS60, both twin and single screw, can be used with the same scale and drive combination. The redesign of the scale from a heretofore round design to a trapezoid design facilitates an optimized multi feeder arrangement with a much smaller footprint. This is important and useful especially in areas with limited space, where multiple ingredients must be fed into one process inlet. In addition, the feeder bowls and hoppers feature a new improved seal design for ideal product containment. The new modular concept also features a newly developed drive using a servo motor which helps reduce the overall footprint and offers a much larger turndown range, including low feed rates. Multiple gearbox changes as in the past are not required any more. The three available feeder types QT20, QT35 and QS60 are interchangeable, depending on the product to be fed, the required feed rates and the necessary scale resolution as continuous processes often require multiple ingredients to be fed into the process at different rates. For an optimal Wash-in-Place (WIP) result, every unit has an </w:t>
      </w:r>
      <w:r>
        <w:lastRenderedPageBreak/>
        <w:t>integral 2 degree pitch facilitating maximum drainage during the cleaning process. The new modular K3-PH line concept is designed to provide for a cluster arrangement of 6 or more feeders to meet these complex requirements. The complete line of equipment is engineered to meet the rigid requirements of the pharmaceutical industry, including strict adherence to cGMP guidelines and standards as well as the use of FDA approved materials of construction.</w:t>
      </w:r>
    </w:p>
    <w:p w:rsidR="00C22DB3" w:rsidRDefault="00C22DB3" w:rsidP="00AB1BDF">
      <w:pPr>
        <w:spacing w:line="360" w:lineRule="auto"/>
      </w:pPr>
    </w:p>
    <w:p w:rsidR="00C22DB3" w:rsidRDefault="00C22DB3" w:rsidP="00AB1BDF">
      <w:pPr>
        <w:spacing w:line="360" w:lineRule="auto"/>
      </w:pPr>
      <w:r>
        <w:t xml:space="preserve">The new Coperion K-Tron K3-PH line of pharmaceutical design loss-in-weight feeders includes proven instrumentation, controls and optimized design options for continuous feeding of difficult flowing pharmaceutical excipients and API’s. Depending on the application, the new pharmaceutical feeder line can be outfitted with a variety of ancillary options including the innovative </w:t>
      </w:r>
      <w:proofErr w:type="spellStart"/>
      <w:r>
        <w:t>ActiFlow</w:t>
      </w:r>
      <w:proofErr w:type="spellEnd"/>
      <w:r>
        <w:t>™ bulk solids activator, a material flow aid for feeding difficult flowing materials, as well as Electronic Pressure Compensation (EPC). EPC is a unique instrumentation package which can optimize feeder performance in continuous operations such as blending, extrusion, granulation and coating. The pharmaceutical feeders are available in volumetric and gravimetric, single and twin screw models.</w:t>
      </w:r>
    </w:p>
    <w:p w:rsidR="007974BD" w:rsidRDefault="007974BD" w:rsidP="00AB1BDF">
      <w:pPr>
        <w:spacing w:line="360" w:lineRule="auto"/>
        <w:rPr>
          <w:rStyle w:val="Hyperlink"/>
          <w:color w:val="auto"/>
          <w:u w:val="none"/>
        </w:rPr>
      </w:pPr>
    </w:p>
    <w:p w:rsidR="00AB1BDF" w:rsidRPr="007A1487" w:rsidRDefault="00AB1BDF" w:rsidP="00AB1BDF">
      <w:pPr>
        <w:spacing w:line="360" w:lineRule="auto"/>
        <w:rPr>
          <w:rFonts w:cs="Arial"/>
          <w:b/>
          <w:bCs/>
          <w:color w:val="FF0000"/>
          <w:szCs w:val="22"/>
          <w:lang w:val="en-GB" w:eastAsia="ar-SA"/>
        </w:rPr>
      </w:pPr>
      <w:r w:rsidRPr="00FF2294">
        <w:rPr>
          <w:rFonts w:cs="Arial"/>
          <w:b/>
          <w:bCs/>
          <w:szCs w:val="22"/>
          <w:lang w:val="en-GB" w:eastAsia="ar-SA"/>
        </w:rPr>
        <w:t xml:space="preserve">Coperion K-Tron </w:t>
      </w:r>
      <w:r>
        <w:rPr>
          <w:rFonts w:cs="Arial"/>
          <w:b/>
          <w:bCs/>
          <w:szCs w:val="22"/>
          <w:lang w:val="en-GB" w:eastAsia="ar-SA"/>
        </w:rPr>
        <w:t>MT1</w:t>
      </w:r>
      <w:r w:rsidR="00705682">
        <w:rPr>
          <w:rFonts w:cs="Arial"/>
          <w:b/>
          <w:bCs/>
          <w:szCs w:val="22"/>
          <w:lang w:val="en-GB" w:eastAsia="ar-SA"/>
        </w:rPr>
        <w:t xml:space="preserve">2 </w:t>
      </w:r>
      <w:r>
        <w:rPr>
          <w:rFonts w:cs="Arial"/>
          <w:b/>
          <w:bCs/>
          <w:szCs w:val="22"/>
          <w:lang w:val="en-GB" w:eastAsia="ar-SA"/>
        </w:rPr>
        <w:t>Micro-I</w:t>
      </w:r>
      <w:r w:rsidR="00705682">
        <w:rPr>
          <w:rFonts w:cs="Arial"/>
          <w:b/>
          <w:bCs/>
          <w:szCs w:val="22"/>
          <w:lang w:val="en-GB" w:eastAsia="ar-SA"/>
        </w:rPr>
        <w:t>ngredient Feeder</w:t>
      </w:r>
      <w:r>
        <w:rPr>
          <w:rFonts w:cs="Arial"/>
          <w:b/>
          <w:bCs/>
          <w:szCs w:val="22"/>
          <w:lang w:val="en-GB" w:eastAsia="ar-SA"/>
        </w:rPr>
        <w:t xml:space="preserve">: </w:t>
      </w:r>
      <w:r w:rsidR="003603C8">
        <w:rPr>
          <w:rFonts w:cs="Arial"/>
          <w:b/>
          <w:bCs/>
          <w:szCs w:val="22"/>
          <w:lang w:val="en-GB" w:eastAsia="ar-SA"/>
        </w:rPr>
        <w:t>Provides Maximum Accuracy at Minimal Feed R</w:t>
      </w:r>
      <w:r w:rsidR="00FB185A">
        <w:rPr>
          <w:rFonts w:cs="Arial"/>
          <w:b/>
          <w:bCs/>
          <w:szCs w:val="22"/>
          <w:lang w:val="en-GB" w:eastAsia="ar-SA"/>
        </w:rPr>
        <w:t>ates</w:t>
      </w:r>
      <w:r>
        <w:rPr>
          <w:rFonts w:cs="Arial"/>
          <w:b/>
          <w:bCs/>
          <w:szCs w:val="22"/>
          <w:lang w:val="en-GB" w:eastAsia="ar-SA"/>
        </w:rPr>
        <w:t xml:space="preserve"> </w:t>
      </w:r>
    </w:p>
    <w:p w:rsidR="00AB1BDF" w:rsidRDefault="00B06209" w:rsidP="00AB1BDF">
      <w:pPr>
        <w:spacing w:line="360" w:lineRule="auto"/>
        <w:rPr>
          <w:rFonts w:cs="Arial"/>
          <w:bCs/>
          <w:szCs w:val="22"/>
          <w:lang w:val="en-GB" w:eastAsia="ar-SA"/>
        </w:rPr>
      </w:pPr>
      <w:r w:rsidRPr="00B06209">
        <w:rPr>
          <w:rFonts w:cs="Arial"/>
          <w:bCs/>
          <w:szCs w:val="22"/>
          <w:lang w:val="en-GB" w:eastAsia="ar-SA"/>
        </w:rPr>
        <w:t xml:space="preserve">The Coperion K-Tron family of Micro-Ingredient Feeders is </w:t>
      </w:r>
      <w:r w:rsidR="003603C8">
        <w:rPr>
          <w:rFonts w:cs="Arial"/>
          <w:bCs/>
          <w:szCs w:val="22"/>
          <w:lang w:val="en-GB" w:eastAsia="ar-SA"/>
        </w:rPr>
        <w:t xml:space="preserve">ideal </w:t>
      </w:r>
      <w:r w:rsidRPr="00B06209">
        <w:rPr>
          <w:rFonts w:cs="Arial"/>
          <w:bCs/>
          <w:szCs w:val="22"/>
          <w:lang w:val="en-GB" w:eastAsia="ar-SA"/>
        </w:rPr>
        <w:t xml:space="preserve">for accurately feeding free flowing to difficult materials at rates as low as </w:t>
      </w:r>
      <w:r w:rsidR="003603C8">
        <w:rPr>
          <w:rFonts w:cs="Arial"/>
          <w:bCs/>
          <w:szCs w:val="22"/>
          <w:lang w:val="en-GB" w:eastAsia="ar-SA"/>
        </w:rPr>
        <w:t>32</w:t>
      </w:r>
      <w:r w:rsidRPr="00B06209">
        <w:rPr>
          <w:rFonts w:cs="Arial"/>
          <w:bCs/>
          <w:szCs w:val="22"/>
          <w:lang w:val="en-GB" w:eastAsia="ar-SA"/>
        </w:rPr>
        <w:t xml:space="preserve"> grams/hour and as high as 2000 grams/hour. The low rate, micro-ingredient feeder l</w:t>
      </w:r>
      <w:r w:rsidR="00534AB2">
        <w:rPr>
          <w:rFonts w:cs="Arial"/>
          <w:bCs/>
          <w:szCs w:val="22"/>
          <w:lang w:val="en-GB" w:eastAsia="ar-SA"/>
        </w:rPr>
        <w:t>ine includes interchangeable MT12 mm and MT</w:t>
      </w:r>
      <w:r w:rsidRPr="00B06209">
        <w:rPr>
          <w:rFonts w:cs="Arial"/>
          <w:bCs/>
          <w:szCs w:val="22"/>
          <w:lang w:val="en-GB" w:eastAsia="ar-SA"/>
        </w:rPr>
        <w:t>16 mm t</w:t>
      </w:r>
      <w:r w:rsidR="00534AB2">
        <w:rPr>
          <w:rFonts w:cs="Arial"/>
          <w:bCs/>
          <w:szCs w:val="22"/>
          <w:lang w:val="en-GB" w:eastAsia="ar-SA"/>
        </w:rPr>
        <w:t>win screw feeding modules or MS12 mm and MS</w:t>
      </w:r>
      <w:r w:rsidRPr="00B06209">
        <w:rPr>
          <w:rFonts w:cs="Arial"/>
          <w:bCs/>
          <w:szCs w:val="22"/>
          <w:lang w:val="en-GB" w:eastAsia="ar-SA"/>
        </w:rPr>
        <w:t>16 m</w:t>
      </w:r>
      <w:r w:rsidR="00534AB2">
        <w:rPr>
          <w:rFonts w:cs="Arial"/>
          <w:bCs/>
          <w:szCs w:val="22"/>
          <w:lang w:val="en-GB" w:eastAsia="ar-SA"/>
        </w:rPr>
        <w:t xml:space="preserve">m single screw feeder modules. </w:t>
      </w:r>
      <w:r w:rsidRPr="00B06209">
        <w:rPr>
          <w:rFonts w:cs="Arial"/>
          <w:bCs/>
          <w:szCs w:val="22"/>
          <w:lang w:val="en-GB" w:eastAsia="ar-SA"/>
        </w:rPr>
        <w:t>The compact feeder is designed for ease of disassembly, allowing fast and easy cleaning, with options available for automatic refill. Typical applications include feeding jet mills, tablet presses, continuous extrusion processes and any application where expensive micro ingredients require accurate feeding.</w:t>
      </w:r>
      <w:r w:rsidR="003603C8">
        <w:rPr>
          <w:rFonts w:cs="Arial"/>
          <w:bCs/>
          <w:szCs w:val="22"/>
          <w:lang w:val="en-GB" w:eastAsia="ar-SA"/>
        </w:rPr>
        <w:t xml:space="preserve"> The m</w:t>
      </w:r>
      <w:r w:rsidR="00534AB2">
        <w:rPr>
          <w:rFonts w:cs="Arial"/>
          <w:bCs/>
          <w:szCs w:val="22"/>
          <w:lang w:val="en-GB" w:eastAsia="ar-SA"/>
        </w:rPr>
        <w:t>odel on display will be the MT12.</w:t>
      </w:r>
    </w:p>
    <w:p w:rsidR="00AB1BDF" w:rsidRPr="00B179E1" w:rsidRDefault="00AB1BDF" w:rsidP="00AB1BDF">
      <w:pPr>
        <w:spacing w:line="360" w:lineRule="auto"/>
        <w:rPr>
          <w:rFonts w:cs="Arial"/>
          <w:bCs/>
          <w:szCs w:val="22"/>
          <w:lang w:val="en-GB" w:eastAsia="ar-SA"/>
        </w:rPr>
      </w:pPr>
    </w:p>
    <w:p w:rsidR="00AB1BDF" w:rsidRPr="00E10694" w:rsidRDefault="00AB1BDF" w:rsidP="00AB1BDF">
      <w:pPr>
        <w:spacing w:line="360" w:lineRule="auto"/>
        <w:rPr>
          <w:rFonts w:cs="Arial"/>
          <w:b/>
          <w:bCs/>
          <w:szCs w:val="22"/>
          <w:lang w:val="en-GB" w:eastAsia="ar-SA"/>
        </w:rPr>
      </w:pPr>
      <w:r>
        <w:rPr>
          <w:rFonts w:cs="Arial"/>
          <w:b/>
          <w:bCs/>
          <w:szCs w:val="22"/>
          <w:lang w:val="en-GB" w:eastAsia="ar-SA"/>
        </w:rPr>
        <w:t>Coperion K-Tron</w:t>
      </w:r>
      <w:r w:rsidRPr="00E10694">
        <w:rPr>
          <w:rFonts w:cs="Arial"/>
          <w:b/>
          <w:bCs/>
          <w:szCs w:val="22"/>
          <w:lang w:val="en-GB" w:eastAsia="ar-SA"/>
        </w:rPr>
        <w:t xml:space="preserve"> P-Series Receivers: Solutions for Difficult Material Applications</w:t>
      </w:r>
    </w:p>
    <w:p w:rsidR="00AB1BDF" w:rsidRDefault="00AB1BDF" w:rsidP="00AB1BDF">
      <w:pPr>
        <w:spacing w:line="360" w:lineRule="auto"/>
        <w:rPr>
          <w:rFonts w:cs="Arial"/>
          <w:bCs/>
          <w:szCs w:val="22"/>
          <w:lang w:val="en-GB" w:eastAsia="ar-SA"/>
        </w:rPr>
      </w:pPr>
      <w:r>
        <w:rPr>
          <w:rFonts w:cs="Arial"/>
          <w:bCs/>
          <w:szCs w:val="22"/>
          <w:lang w:val="en-GB" w:eastAsia="ar-SA"/>
        </w:rPr>
        <w:t>Coperion K-Tron</w:t>
      </w:r>
      <w:r w:rsidRPr="00B179E1">
        <w:rPr>
          <w:rFonts w:cs="Arial"/>
          <w:bCs/>
          <w:szCs w:val="22"/>
          <w:lang w:val="en-GB" w:eastAsia="ar-SA"/>
        </w:rPr>
        <w:t xml:space="preserve"> P-Series receivers provide a sanitary solution for difficult material conveying applications. The sanitary design features include steep cone angles to ensure excellent discharge and band clamps for quick disassembly. The conveying principle includes vacuum, dilute phase, and dense phase. Conveying rates vary depending on model, product </w:t>
      </w:r>
      <w:r w:rsidRPr="00B179E1">
        <w:rPr>
          <w:rFonts w:cs="Arial"/>
          <w:bCs/>
          <w:szCs w:val="22"/>
          <w:lang w:val="en-GB" w:eastAsia="ar-SA"/>
        </w:rPr>
        <w:lastRenderedPageBreak/>
        <w:t>characteristics and conveying distances. Typical materials include tablets, capsules, flakes, free-flowing to poorly flowing powders, and materials requiring gentle conveying. Model on display includes a P</w:t>
      </w:r>
      <w:r w:rsidR="00C22DB3">
        <w:rPr>
          <w:rFonts w:cs="Arial"/>
          <w:bCs/>
          <w:szCs w:val="22"/>
          <w:lang w:val="en-GB" w:eastAsia="ar-SA"/>
        </w:rPr>
        <w:t>1</w:t>
      </w:r>
      <w:r w:rsidRPr="00B179E1">
        <w:rPr>
          <w:rFonts w:cs="Arial"/>
          <w:bCs/>
          <w:szCs w:val="22"/>
          <w:lang w:val="en-GB" w:eastAsia="ar-SA"/>
        </w:rPr>
        <w:t>0 in mirror finish.</w:t>
      </w:r>
    </w:p>
    <w:p w:rsidR="00AB1BDF" w:rsidRDefault="00AB1BDF" w:rsidP="00AB1BDF">
      <w:pPr>
        <w:spacing w:line="360" w:lineRule="auto"/>
        <w:rPr>
          <w:rFonts w:cs="Arial"/>
          <w:bCs/>
          <w:szCs w:val="22"/>
          <w:lang w:val="en-GB" w:eastAsia="ar-SA"/>
        </w:rPr>
      </w:pPr>
    </w:p>
    <w:p w:rsidR="00AB1BDF" w:rsidRDefault="00C22DB3" w:rsidP="00AB1BDF">
      <w:pPr>
        <w:spacing w:line="360" w:lineRule="auto"/>
        <w:rPr>
          <w:rFonts w:cs="Arial"/>
          <w:b/>
          <w:bCs/>
          <w:szCs w:val="22"/>
          <w:lang w:val="en-GB" w:eastAsia="ar-SA"/>
        </w:rPr>
      </w:pPr>
      <w:r>
        <w:rPr>
          <w:rFonts w:cs="Arial"/>
          <w:b/>
          <w:bCs/>
          <w:szCs w:val="22"/>
          <w:lang w:val="en-GB" w:eastAsia="ar-SA"/>
        </w:rPr>
        <w:t>Coperion</w:t>
      </w:r>
      <w:r w:rsidR="00AB1BDF" w:rsidRPr="00B179E1">
        <w:rPr>
          <w:rFonts w:cs="Arial"/>
          <w:b/>
          <w:bCs/>
          <w:szCs w:val="22"/>
          <w:lang w:val="en-GB" w:eastAsia="ar-SA"/>
        </w:rPr>
        <w:t xml:space="preserve"> </w:t>
      </w:r>
      <w:r w:rsidR="003603C8">
        <w:rPr>
          <w:rFonts w:cs="Arial"/>
          <w:b/>
          <w:bCs/>
          <w:szCs w:val="22"/>
          <w:lang w:val="en-GB" w:eastAsia="ar-SA"/>
        </w:rPr>
        <w:t xml:space="preserve">Hygienic </w:t>
      </w:r>
      <w:r w:rsidR="00AB1BDF" w:rsidRPr="00B179E1">
        <w:rPr>
          <w:rFonts w:cs="Arial"/>
          <w:b/>
          <w:bCs/>
          <w:szCs w:val="22"/>
          <w:lang w:val="en-GB" w:eastAsia="ar-SA"/>
        </w:rPr>
        <w:t xml:space="preserve">/ </w:t>
      </w:r>
      <w:r w:rsidR="00AB1BDF">
        <w:rPr>
          <w:rFonts w:cs="Arial"/>
          <w:b/>
          <w:bCs/>
          <w:szCs w:val="22"/>
          <w:lang w:val="en-GB" w:eastAsia="ar-SA"/>
        </w:rPr>
        <w:t>ZZB Rotary Valve</w:t>
      </w:r>
      <w:r w:rsidR="00AB1BDF" w:rsidRPr="00B179E1">
        <w:rPr>
          <w:rFonts w:cs="Arial"/>
          <w:b/>
          <w:bCs/>
          <w:szCs w:val="22"/>
          <w:lang w:val="en-GB" w:eastAsia="ar-SA"/>
        </w:rPr>
        <w:t xml:space="preserve"> </w:t>
      </w:r>
      <w:r w:rsidR="003603C8">
        <w:rPr>
          <w:rFonts w:cs="Arial"/>
          <w:b/>
          <w:bCs/>
          <w:szCs w:val="22"/>
          <w:lang w:val="en-GB" w:eastAsia="ar-SA"/>
        </w:rPr>
        <w:t>for Pharmaceutical Applications</w:t>
      </w:r>
    </w:p>
    <w:p w:rsidR="00AB1BDF" w:rsidRDefault="00AB1BDF" w:rsidP="001008C9">
      <w:pPr>
        <w:spacing w:line="360" w:lineRule="auto"/>
        <w:rPr>
          <w:rFonts w:cs="Arial"/>
          <w:color w:val="111111"/>
          <w:shd w:val="clear" w:color="auto" w:fill="FFFFFF"/>
        </w:rPr>
      </w:pPr>
      <w:r w:rsidRPr="00B179E1">
        <w:rPr>
          <w:rFonts w:cs="Arial"/>
          <w:bCs/>
          <w:szCs w:val="22"/>
          <w:lang w:val="en-GB" w:eastAsia="ar-SA"/>
        </w:rPr>
        <w:t xml:space="preserve">The </w:t>
      </w:r>
      <w:r w:rsidR="00C22DB3">
        <w:rPr>
          <w:rFonts w:cs="Arial"/>
          <w:bCs/>
          <w:szCs w:val="22"/>
          <w:lang w:val="en-GB" w:eastAsia="ar-SA"/>
        </w:rPr>
        <w:t>Coperion</w:t>
      </w:r>
      <w:r>
        <w:rPr>
          <w:rFonts w:cs="Arial"/>
          <w:bCs/>
          <w:szCs w:val="22"/>
          <w:lang w:val="en-GB" w:eastAsia="ar-SA"/>
        </w:rPr>
        <w:t xml:space="preserve"> ZZB </w:t>
      </w:r>
      <w:r w:rsidR="00C22DB3">
        <w:rPr>
          <w:rFonts w:cs="Arial"/>
          <w:bCs/>
          <w:szCs w:val="22"/>
          <w:lang w:val="en-GB" w:eastAsia="ar-SA"/>
        </w:rPr>
        <w:t xml:space="preserve">hygienic </w:t>
      </w:r>
      <w:r w:rsidRPr="00B179E1">
        <w:rPr>
          <w:rFonts w:cs="Arial"/>
          <w:bCs/>
          <w:szCs w:val="22"/>
          <w:lang w:val="en-GB" w:eastAsia="ar-SA"/>
        </w:rPr>
        <w:t>rotary valve is specially designed for sanitary pharmaceutical applications requi</w:t>
      </w:r>
      <w:r>
        <w:rPr>
          <w:rFonts w:cs="Arial"/>
          <w:bCs/>
          <w:szCs w:val="22"/>
          <w:lang w:val="en-GB" w:eastAsia="ar-SA"/>
        </w:rPr>
        <w:t xml:space="preserve">ring high hygienic standards of </w:t>
      </w:r>
      <w:r w:rsidRPr="00B179E1">
        <w:rPr>
          <w:rFonts w:cs="Arial"/>
          <w:bCs/>
          <w:szCs w:val="22"/>
          <w:lang w:val="en-GB" w:eastAsia="ar-SA"/>
        </w:rPr>
        <w:t>metering</w:t>
      </w:r>
      <w:r w:rsidR="00C22DB3">
        <w:rPr>
          <w:rFonts w:cs="Arial"/>
          <w:bCs/>
          <w:szCs w:val="22"/>
          <w:lang w:val="en-GB" w:eastAsia="ar-SA"/>
        </w:rPr>
        <w:t xml:space="preserve"> and </w:t>
      </w:r>
      <w:r w:rsidR="00D50C40">
        <w:rPr>
          <w:rFonts w:cs="Arial"/>
          <w:bCs/>
          <w:szCs w:val="22"/>
          <w:lang w:val="en-GB" w:eastAsia="ar-SA"/>
        </w:rPr>
        <w:t>discharging</w:t>
      </w:r>
      <w:r w:rsidRPr="00B179E1">
        <w:rPr>
          <w:rFonts w:cs="Arial"/>
          <w:bCs/>
          <w:szCs w:val="22"/>
          <w:lang w:val="en-GB" w:eastAsia="ar-SA"/>
        </w:rPr>
        <w:t xml:space="preserve"> of pharmaceutical powders where frequent cleaning and ease of operation is imperative. </w:t>
      </w:r>
      <w:r>
        <w:rPr>
          <w:rFonts w:cs="Arial"/>
          <w:bCs/>
          <w:szCs w:val="22"/>
          <w:lang w:val="en-GB" w:eastAsia="ar-SA"/>
        </w:rPr>
        <w:t>This</w:t>
      </w:r>
      <w:r w:rsidRPr="00B179E1">
        <w:rPr>
          <w:rFonts w:cs="Arial"/>
          <w:bCs/>
          <w:szCs w:val="22"/>
          <w:lang w:val="en-GB" w:eastAsia="ar-SA"/>
        </w:rPr>
        <w:t xml:space="preserve"> rotary valve offers a highly polished surface </w:t>
      </w:r>
      <w:r w:rsidR="00FF051F">
        <w:t xml:space="preserve">Ra 0.8 </w:t>
      </w:r>
      <w:r w:rsidR="00FF051F">
        <w:rPr>
          <w:rFonts w:cs="Arial"/>
          <w:color w:val="111111"/>
          <w:shd w:val="clear" w:color="auto" w:fill="FFFFFF"/>
        </w:rPr>
        <w:t xml:space="preserve">µm </w:t>
      </w:r>
      <w:r>
        <w:t>in and outside to avoid product deposits</w:t>
      </w:r>
      <w:r w:rsidR="00973366">
        <w:t>,</w:t>
      </w:r>
      <w:r w:rsidRPr="00B179E1">
        <w:rPr>
          <w:rFonts w:cs="Arial"/>
          <w:bCs/>
          <w:szCs w:val="22"/>
          <w:lang w:val="en-GB" w:eastAsia="ar-SA"/>
        </w:rPr>
        <w:t xml:space="preserve"> with all product surfaces FDA approved. </w:t>
      </w:r>
      <w:r w:rsidR="00973366">
        <w:rPr>
          <w:rFonts w:cs="Arial"/>
          <w:color w:val="111111"/>
          <w:shd w:val="clear" w:color="auto" w:fill="FFFFFF"/>
        </w:rPr>
        <w:t>The valve’s standard extraction device allows the rotor to be easily removed from the housing and easy to open tri-clamp flange connections at both inlet and outlet simplify installation and maintenance.</w:t>
      </w:r>
      <w:r>
        <w:t xml:space="preserve"> Th</w:t>
      </w:r>
      <w:r w:rsidR="00C22DB3">
        <w:t>ere is a large inlet for maximum</w:t>
      </w:r>
      <w:r>
        <w:t xml:space="preserve"> capacities. </w:t>
      </w:r>
      <w:r w:rsidR="001008C9">
        <w:t>The outboard bearings are separated from product through a drop out opening, with optimal purged shaft seals.</w:t>
      </w:r>
      <w:r>
        <w:t xml:space="preserve"> </w:t>
      </w:r>
      <w:r w:rsidR="000C4E23">
        <w:t>The standard ZZB offers pressure differential up to</w:t>
      </w:r>
      <w:r>
        <w:rPr>
          <w:rFonts w:cs="Arial"/>
          <w:bCs/>
          <w:szCs w:val="22"/>
          <w:lang w:val="en-GB" w:eastAsia="ar-SA"/>
        </w:rPr>
        <w:t xml:space="preserve"> </w:t>
      </w:r>
      <w:r w:rsidR="00FF051F">
        <w:rPr>
          <w:rFonts w:cs="Arial"/>
          <w:bCs/>
          <w:szCs w:val="22"/>
          <w:lang w:val="en-GB" w:eastAsia="ar-SA"/>
        </w:rPr>
        <w:t>3 psi [</w:t>
      </w:r>
      <w:r w:rsidR="00C22DB3">
        <w:rPr>
          <w:rFonts w:cs="Arial"/>
          <w:bCs/>
          <w:szCs w:val="22"/>
          <w:lang w:val="en-GB" w:eastAsia="ar-SA"/>
        </w:rPr>
        <w:t>0</w:t>
      </w:r>
      <w:r w:rsidR="00FF051F">
        <w:rPr>
          <w:rFonts w:cs="Arial"/>
          <w:bCs/>
          <w:szCs w:val="22"/>
          <w:lang w:val="en-GB" w:eastAsia="ar-SA"/>
        </w:rPr>
        <w:t>.</w:t>
      </w:r>
      <w:r>
        <w:rPr>
          <w:rFonts w:cs="Arial"/>
          <w:bCs/>
          <w:szCs w:val="22"/>
          <w:lang w:val="en-GB" w:eastAsia="ar-SA"/>
        </w:rPr>
        <w:t>2 bar</w:t>
      </w:r>
      <w:r w:rsidR="00FF051F">
        <w:rPr>
          <w:rFonts w:cs="Arial"/>
          <w:bCs/>
          <w:szCs w:val="22"/>
          <w:lang w:val="en-GB" w:eastAsia="ar-SA"/>
        </w:rPr>
        <w:t>(</w:t>
      </w:r>
      <w:r>
        <w:rPr>
          <w:rFonts w:cs="Arial"/>
          <w:bCs/>
          <w:szCs w:val="22"/>
          <w:lang w:val="en-GB" w:eastAsia="ar-SA"/>
        </w:rPr>
        <w:t>g</w:t>
      </w:r>
      <w:r w:rsidR="00FF051F">
        <w:rPr>
          <w:rFonts w:cs="Arial"/>
          <w:bCs/>
          <w:szCs w:val="22"/>
          <w:lang w:val="en-GB" w:eastAsia="ar-SA"/>
        </w:rPr>
        <w:t>)]</w:t>
      </w:r>
      <w:r w:rsidR="000C4E23">
        <w:rPr>
          <w:rFonts w:cs="Arial"/>
          <w:bCs/>
          <w:szCs w:val="22"/>
          <w:lang w:val="en-GB" w:eastAsia="ar-SA"/>
        </w:rPr>
        <w:t xml:space="preserve"> with 15 psi [</w:t>
      </w:r>
      <w:r>
        <w:rPr>
          <w:rFonts w:cs="Arial"/>
          <w:bCs/>
          <w:szCs w:val="22"/>
          <w:lang w:val="en-GB" w:eastAsia="ar-SA"/>
        </w:rPr>
        <w:t>1 bar</w:t>
      </w:r>
      <w:r w:rsidR="000C4E23">
        <w:rPr>
          <w:rFonts w:cs="Arial"/>
          <w:bCs/>
          <w:szCs w:val="22"/>
          <w:lang w:val="en-GB" w:eastAsia="ar-SA"/>
        </w:rPr>
        <w:t>(</w:t>
      </w:r>
      <w:r>
        <w:rPr>
          <w:rFonts w:cs="Arial"/>
          <w:bCs/>
          <w:szCs w:val="22"/>
          <w:lang w:val="en-GB" w:eastAsia="ar-SA"/>
        </w:rPr>
        <w:t>g</w:t>
      </w:r>
      <w:r w:rsidR="000C4E23">
        <w:rPr>
          <w:rFonts w:cs="Arial"/>
          <w:bCs/>
          <w:szCs w:val="22"/>
          <w:lang w:val="en-GB" w:eastAsia="ar-SA"/>
        </w:rPr>
        <w:t>)] as an option</w:t>
      </w:r>
      <w:r>
        <w:rPr>
          <w:rFonts w:cs="Arial"/>
          <w:bCs/>
          <w:szCs w:val="22"/>
          <w:lang w:val="en-GB" w:eastAsia="ar-SA"/>
        </w:rPr>
        <w:t xml:space="preserve">. </w:t>
      </w:r>
      <w:r w:rsidR="00973366">
        <w:rPr>
          <w:rFonts w:cs="Arial"/>
          <w:color w:val="111111"/>
          <w:shd w:val="clear" w:color="auto" w:fill="FFFFFF"/>
        </w:rPr>
        <w:t xml:space="preserve">The ZZB is available in sizes DN 80 and 100 (inlet and outlet) and is suitable for use in </w:t>
      </w:r>
      <w:r w:rsidR="00D50C40">
        <w:rPr>
          <w:rFonts w:cs="Arial"/>
          <w:color w:val="111111"/>
          <w:shd w:val="clear" w:color="auto" w:fill="FFFFFF"/>
        </w:rPr>
        <w:t>Ex-Zones, inside 0.2, outside zone 1.21.</w:t>
      </w:r>
    </w:p>
    <w:p w:rsidR="000C4E23" w:rsidRPr="00FF051F" w:rsidRDefault="000C4E23" w:rsidP="00AB1BDF">
      <w:pPr>
        <w:spacing w:line="360" w:lineRule="auto"/>
        <w:rPr>
          <w:rFonts w:cs="Arial"/>
          <w:color w:val="111111"/>
          <w:shd w:val="clear" w:color="auto" w:fill="FFFFFF"/>
        </w:rPr>
      </w:pPr>
    </w:p>
    <w:p w:rsidR="00AB1BDF" w:rsidRPr="00360291" w:rsidRDefault="00AB1BDF" w:rsidP="00AB1BDF">
      <w:pPr>
        <w:spacing w:line="360" w:lineRule="auto"/>
      </w:pPr>
      <w:r w:rsidRPr="00942BC4">
        <w:t xml:space="preserve">For more information </w:t>
      </w:r>
      <w:hyperlink r:id="rId10" w:history="1">
        <w:r w:rsidR="000B34C3" w:rsidRPr="005765C9">
          <w:rPr>
            <w:rStyle w:val="Hyperlink"/>
          </w:rPr>
          <w:t>www.coperion.com/Interphex2018</w:t>
        </w:r>
      </w:hyperlink>
      <w:r w:rsidR="000B34C3">
        <w:t xml:space="preserve"> </w:t>
      </w:r>
    </w:p>
    <w:p w:rsidR="009B31F5" w:rsidRDefault="009B31F5" w:rsidP="009B31F5">
      <w:pPr>
        <w:pStyle w:val="Kopfzeile"/>
        <w:rPr>
          <w:rFonts w:cs="Arial"/>
          <w:i/>
          <w:szCs w:val="22"/>
        </w:rPr>
      </w:pPr>
    </w:p>
    <w:p w:rsidR="009B31F5" w:rsidRDefault="009B31F5" w:rsidP="009B31F5">
      <w:pPr>
        <w:pStyle w:val="Kopfzeile"/>
        <w:rPr>
          <w:rFonts w:cs="Arial"/>
          <w:i/>
          <w:szCs w:val="22"/>
        </w:rPr>
      </w:pPr>
      <w:r w:rsidRPr="00FB1801">
        <w:rPr>
          <w:rFonts w:cs="Arial"/>
          <w:i/>
          <w:szCs w:val="22"/>
        </w:rPr>
        <w:t xml:space="preserve">Word count:  </w:t>
      </w:r>
      <w:r w:rsidR="00CA7844">
        <w:rPr>
          <w:rFonts w:cs="Arial"/>
          <w:i/>
          <w:szCs w:val="22"/>
        </w:rPr>
        <w:t>1,207</w:t>
      </w:r>
    </w:p>
    <w:p w:rsidR="00E0064A" w:rsidRDefault="00E0064A" w:rsidP="009B31F5">
      <w:pPr>
        <w:pStyle w:val="Kopfzeile"/>
        <w:rPr>
          <w:rFonts w:cs="Arial"/>
          <w:i/>
          <w:szCs w:val="22"/>
        </w:rPr>
      </w:pPr>
    </w:p>
    <w:p w:rsidR="00E0064A" w:rsidRDefault="00E0064A" w:rsidP="009B31F5">
      <w:pPr>
        <w:pStyle w:val="Kopfzeile"/>
        <w:rPr>
          <w:rFonts w:cs="Arial"/>
          <w:i/>
          <w:szCs w:val="22"/>
        </w:rPr>
      </w:pPr>
    </w:p>
    <w:p w:rsidR="00E0064A" w:rsidRPr="00EC1CFC" w:rsidRDefault="00E0064A" w:rsidP="00E0064A">
      <w:pPr>
        <w:autoSpaceDE w:val="0"/>
        <w:autoSpaceDN w:val="0"/>
        <w:rPr>
          <w:rFonts w:cs="Arial"/>
          <w:sz w:val="20"/>
          <w:szCs w:val="20"/>
        </w:rPr>
      </w:pPr>
      <w:r w:rsidRPr="00FC0E43">
        <w:rPr>
          <w:sz w:val="20"/>
          <w:lang w:val="en-GB"/>
        </w:rPr>
        <w:t xml:space="preserve">Coperion </w:t>
      </w:r>
      <w:r w:rsidRPr="00F50D1F">
        <w:rPr>
          <w:rFonts w:cs="Arial"/>
          <w:sz w:val="20"/>
        </w:rPr>
        <w:t>(</w:t>
      </w:r>
      <w:r>
        <w:rPr>
          <w:rFonts w:cs="Arial"/>
          <w:sz w:val="20"/>
        </w:rPr>
        <w:t>www.coperion.com</w:t>
      </w:r>
      <w:r>
        <w:rPr>
          <w:lang w:val="de-DE"/>
        </w:rPr>
        <w:fldChar w:fldCharType="begin"/>
      </w:r>
      <w:r>
        <w:rPr>
          <w:lang w:val="de-DE"/>
        </w:rPr>
        <w:fldChar w:fldCharType="separate"/>
      </w:r>
      <w:r w:rsidRPr="00F50D1F">
        <w:rPr>
          <w:rStyle w:val="Hyperlink"/>
          <w:rFonts w:cs="Arial"/>
          <w:sz w:val="20"/>
        </w:rPr>
        <w:t>www.coperion.com</w:t>
      </w:r>
      <w:r>
        <w:rPr>
          <w:rStyle w:val="Hyperlink"/>
          <w:rFonts w:cs="Arial"/>
          <w:sz w:val="20"/>
        </w:rPr>
        <w:fldChar w:fldCharType="end"/>
      </w:r>
      <w:r w:rsidRPr="00F50D1F">
        <w:rPr>
          <w:rFonts w:cs="Arial"/>
          <w:sz w:val="20"/>
        </w:rPr>
        <w:t xml:space="preserve">) </w:t>
      </w:r>
      <w:r w:rsidRPr="00FC0E43">
        <w:rPr>
          <w:sz w:val="20"/>
          <w:lang w:val="en-GB"/>
        </w:rPr>
        <w:t>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w:t>
      </w:r>
      <w:r>
        <w:rPr>
          <w:sz w:val="20"/>
          <w:lang w:val="en-GB"/>
        </w:rPr>
        <w:t>g &amp; Extrusion, Equipment &amp; Systems, Materials Handling</w:t>
      </w:r>
      <w:r w:rsidRPr="00FC0E43">
        <w:rPr>
          <w:sz w:val="20"/>
          <w:lang w:val="en-GB"/>
        </w:rPr>
        <w:t xml:space="preserve"> and Service – Coperion has 2,500 employees and nearly 40 sales and service companies worldwide.</w:t>
      </w:r>
      <w:r w:rsidRPr="007932AB">
        <w:rPr>
          <w:rFonts w:cs="Arial"/>
          <w:sz w:val="20"/>
          <w:szCs w:val="20"/>
        </w:rPr>
        <w:t xml:space="preserve"> For more information visit </w:t>
      </w:r>
      <w:hyperlink r:id="rId11" w:history="1">
        <w:r>
          <w:rPr>
            <w:rStyle w:val="Hyperlink"/>
            <w:rFonts w:cs="Arial"/>
            <w:sz w:val="20"/>
            <w:szCs w:val="20"/>
          </w:rPr>
          <w:t>www.coperion.com</w:t>
        </w:r>
      </w:hyperlink>
      <w:r>
        <w:rPr>
          <w:rFonts w:cs="Arial"/>
          <w:sz w:val="20"/>
          <w:szCs w:val="20"/>
        </w:rPr>
        <w:t xml:space="preserve"> or email </w:t>
      </w:r>
      <w:hyperlink r:id="rId12" w:history="1">
        <w:r>
          <w:rPr>
            <w:rStyle w:val="Hyperlink"/>
            <w:rFonts w:cs="Arial"/>
            <w:sz w:val="20"/>
            <w:szCs w:val="20"/>
          </w:rPr>
          <w:t>info@coperion.com</w:t>
        </w:r>
      </w:hyperlink>
      <w:r>
        <w:rPr>
          <w:rFonts w:cs="Arial"/>
          <w:sz w:val="20"/>
          <w:szCs w:val="20"/>
        </w:rPr>
        <w:t>.</w:t>
      </w:r>
    </w:p>
    <w:p w:rsidR="00E0064A" w:rsidRDefault="00E0064A" w:rsidP="009B31F5">
      <w:pPr>
        <w:pStyle w:val="Kopfzeile"/>
        <w:rPr>
          <w:rFonts w:cs="Arial"/>
          <w:i/>
          <w:szCs w:val="22"/>
        </w:rPr>
      </w:pPr>
    </w:p>
    <w:p w:rsidR="00E0064A" w:rsidRDefault="00E0064A" w:rsidP="009B31F5">
      <w:pPr>
        <w:pStyle w:val="Kopfzeile"/>
        <w:rPr>
          <w:rFonts w:cs="Arial"/>
          <w:i/>
          <w:szCs w:val="22"/>
        </w:rPr>
      </w:pPr>
    </w:p>
    <w:p w:rsidR="00E0064A" w:rsidRPr="00CE5CFC" w:rsidRDefault="00E0064A" w:rsidP="00E0064A">
      <w:pPr>
        <w:pStyle w:val="Trennung"/>
        <w:spacing w:before="240" w:after="240"/>
      </w:pPr>
      <w:r w:rsidRPr="00CD208F">
        <w:t></w:t>
      </w:r>
      <w:r w:rsidRPr="00CD208F">
        <w:t></w:t>
      </w:r>
      <w:r w:rsidRPr="00CD208F">
        <w:t></w:t>
      </w:r>
    </w:p>
    <w:p w:rsidR="00E0064A" w:rsidRPr="00CE5CFC" w:rsidRDefault="00E0064A" w:rsidP="00E0064A">
      <w:pPr>
        <w:pStyle w:val="Internet"/>
        <w:pBdr>
          <w:bottom w:val="single" w:sz="8" w:space="0" w:color="auto"/>
        </w:pBdr>
        <w:ind w:right="-113"/>
        <w:rPr>
          <w:b/>
        </w:rPr>
      </w:pPr>
      <w:r w:rsidRPr="00CE5CFC">
        <w:rPr>
          <w:sz w:val="6"/>
        </w:rPr>
        <w:br/>
      </w:r>
      <w:r w:rsidRPr="00CE5CFC">
        <w:t>Dear colleagues,</w:t>
      </w:r>
      <w:r w:rsidRPr="00CE5CFC">
        <w:br/>
        <w:t xml:space="preserve">You will find this </w:t>
      </w:r>
      <w:r w:rsidRPr="00CE5CFC">
        <w:rPr>
          <w:u w:val="single"/>
        </w:rPr>
        <w:t>press release English</w:t>
      </w:r>
      <w:r w:rsidRPr="00CE5CFC">
        <w:t xml:space="preserve"> and </w:t>
      </w:r>
      <w:r w:rsidRPr="00CE5CFC">
        <w:rPr>
          <w:u w:val="single"/>
        </w:rPr>
        <w:t>the color photos in printable quality</w:t>
      </w:r>
      <w:r w:rsidRPr="00CE5CFC">
        <w:t xml:space="preserve"> available for download online at </w:t>
      </w:r>
      <w:r w:rsidRPr="00CE5CFC">
        <w:rPr>
          <w:rStyle w:val="Hyperlink"/>
          <w:b/>
        </w:rPr>
        <w:t>https://www.coperion.com/</w:t>
      </w:r>
      <w:bookmarkStart w:id="1" w:name="OLE_LINK1"/>
      <w:r w:rsidRPr="000A05FB">
        <w:rPr>
          <w:rStyle w:val="Hyperlink"/>
          <w:b/>
        </w:rPr>
        <w:t>en/news-media/newsroom/</w:t>
      </w:r>
    </w:p>
    <w:bookmarkEnd w:id="1"/>
    <w:p w:rsidR="00E0064A" w:rsidRPr="00CE5CFC" w:rsidRDefault="00E0064A" w:rsidP="00E0064A">
      <w:pPr>
        <w:pStyle w:val="Internet"/>
        <w:pBdr>
          <w:bottom w:val="single" w:sz="8" w:space="0" w:color="auto"/>
        </w:pBdr>
        <w:ind w:right="-113"/>
        <w:rPr>
          <w:sz w:val="6"/>
        </w:rPr>
      </w:pPr>
      <w:r w:rsidRPr="00CE5CFC">
        <w:rPr>
          <w:sz w:val="6"/>
        </w:rPr>
        <w:t xml:space="preserve">  .</w:t>
      </w:r>
    </w:p>
    <w:p w:rsidR="00E0064A" w:rsidRPr="00CE5CFC" w:rsidRDefault="00E0064A" w:rsidP="00E0064A">
      <w:pPr>
        <w:pStyle w:val="Beleg"/>
        <w:spacing w:before="360"/>
      </w:pPr>
      <w:r w:rsidRPr="00CE5CFC">
        <w:lastRenderedPageBreak/>
        <w:t xml:space="preserve">Editor contact and copies: </w:t>
      </w:r>
    </w:p>
    <w:p w:rsidR="00E0064A" w:rsidRPr="00CE5CFC" w:rsidRDefault="00E0064A" w:rsidP="00E0064A">
      <w:pPr>
        <w:pStyle w:val="Konsens"/>
        <w:spacing w:before="120"/>
        <w:rPr>
          <w:rStyle w:val="Hyperlink"/>
          <w:szCs w:val="22"/>
        </w:rPr>
      </w:pPr>
      <w:r w:rsidRPr="00CE5CFC">
        <w:t>Dr. Jörg Wolters, KONSENS Public Relations GmbH &amp; Co. KG,</w:t>
      </w:r>
      <w:r w:rsidRPr="00CE5CFC">
        <w:br/>
        <w:t>Hans-</w:t>
      </w:r>
      <w:proofErr w:type="spellStart"/>
      <w:r w:rsidRPr="00CE5CFC">
        <w:t>Kudlich</w:t>
      </w:r>
      <w:proofErr w:type="spellEnd"/>
      <w:r w:rsidRPr="00CE5CFC">
        <w:t>-</w:t>
      </w:r>
      <w:proofErr w:type="spellStart"/>
      <w:r w:rsidRPr="00CE5CFC">
        <w:t>Strasse</w:t>
      </w:r>
      <w:proofErr w:type="spellEnd"/>
      <w:r w:rsidRPr="00CE5CFC">
        <w:t xml:space="preserve"> 25, D-64823 Gross-</w:t>
      </w:r>
      <w:proofErr w:type="spellStart"/>
      <w:r w:rsidRPr="00CE5CFC">
        <w:t>Umstadt</w:t>
      </w:r>
      <w:proofErr w:type="spellEnd"/>
      <w:r w:rsidRPr="00CE5CFC">
        <w:t>, Germany</w:t>
      </w:r>
      <w:r w:rsidRPr="00CE5CFC">
        <w:br/>
        <w:t>Tel.: +49 (0)60 78/93 63-0, Fax: +49 (0)60 78/93 63-20</w:t>
      </w:r>
      <w:r w:rsidRPr="00CE5CFC">
        <w:br/>
        <w:t xml:space="preserve">E-mail:  mail@konsens.de, Website:  </w:t>
      </w:r>
      <w:hyperlink r:id="rId13" w:history="1">
        <w:r w:rsidRPr="00CE5CFC">
          <w:rPr>
            <w:rStyle w:val="Hyperlink"/>
          </w:rPr>
          <w:t>www.konsens.de</w:t>
        </w:r>
      </w:hyperlink>
    </w:p>
    <w:p w:rsidR="00E0064A" w:rsidRDefault="00E0064A" w:rsidP="00E0064A">
      <w:pPr>
        <w:pStyle w:val="bild"/>
        <w:rPr>
          <w:rFonts w:cs="Arial"/>
          <w:color w:val="FF0000"/>
          <w:lang w:eastAsia="ar-SA"/>
        </w:rPr>
      </w:pPr>
    </w:p>
    <w:p w:rsidR="00E0064A" w:rsidRDefault="00E0064A" w:rsidP="00E0064A">
      <w:pPr>
        <w:pStyle w:val="bild"/>
        <w:rPr>
          <w:rFonts w:cs="Arial"/>
          <w:color w:val="FF0000"/>
          <w:lang w:eastAsia="ar-SA"/>
        </w:rPr>
      </w:pPr>
    </w:p>
    <w:p w:rsidR="00534AB2" w:rsidRDefault="00534AB2" w:rsidP="00AB1BDF">
      <w:pPr>
        <w:tabs>
          <w:tab w:val="left" w:pos="90"/>
        </w:tabs>
        <w:snapToGrid w:val="0"/>
        <w:rPr>
          <w:rFonts w:cs="Arial"/>
          <w:sz w:val="20"/>
        </w:rPr>
      </w:pPr>
    </w:p>
    <w:p w:rsidR="00534AB2" w:rsidRDefault="00534AB2" w:rsidP="00534AB2">
      <w:pPr>
        <w:pStyle w:val="bild"/>
      </w:pPr>
      <w:r>
        <w:t>The new K3-PH line of feeders in modular design has been specifically designed to meet the growing demands of continuous processing</w:t>
      </w:r>
      <w:r w:rsidR="00D50C40">
        <w:t xml:space="preserve"> in the pharmaceutical industry.</w:t>
      </w:r>
      <w:r>
        <w:br/>
        <w:t xml:space="preserve">Image: Coperion K-Tron, </w:t>
      </w:r>
      <w:proofErr w:type="spellStart"/>
      <w:r>
        <w:t>Niederlenz</w:t>
      </w:r>
      <w:proofErr w:type="spellEnd"/>
      <w:r>
        <w:t xml:space="preserve">, Switzerland </w:t>
      </w:r>
    </w:p>
    <w:p w:rsidR="009F6989" w:rsidRDefault="009F6989" w:rsidP="00534AB2">
      <w:pPr>
        <w:pStyle w:val="bild"/>
      </w:pPr>
    </w:p>
    <w:p w:rsidR="00534AB2" w:rsidRPr="00190BDE" w:rsidRDefault="00534AB2" w:rsidP="00534AB2">
      <w:pPr>
        <w:pStyle w:val="Kopfzeile"/>
        <w:spacing w:line="360" w:lineRule="auto"/>
        <w:rPr>
          <w:i/>
          <w:szCs w:val="22"/>
        </w:rPr>
      </w:pPr>
      <w:r w:rsidRPr="00EC57A1">
        <w:rPr>
          <w:i/>
          <w:szCs w:val="22"/>
        </w:rPr>
        <w:t>Coperion K-Tron’s new QT20 pharmaceutical feeder with a redesigned trapezoid scale shape and significantly smaller footprint is optimized for multi-feeder clusters around a process inlet</w:t>
      </w:r>
      <w:r w:rsidRPr="00190BDE">
        <w:rPr>
          <w:i/>
          <w:szCs w:val="22"/>
        </w:rPr>
        <w:t>.</w:t>
      </w:r>
    </w:p>
    <w:p w:rsidR="00534AB2" w:rsidRPr="00E0064A" w:rsidRDefault="00534AB2" w:rsidP="00096082">
      <w:pPr>
        <w:pStyle w:val="Kopfzeile"/>
        <w:spacing w:line="360" w:lineRule="auto"/>
        <w:rPr>
          <w:lang w:val="de-DE"/>
        </w:rPr>
      </w:pPr>
      <w:r w:rsidRPr="00E0064A">
        <w:rPr>
          <w:i/>
          <w:szCs w:val="22"/>
          <w:lang w:val="de-DE"/>
        </w:rPr>
        <w:t>Image: Coperion K-</w:t>
      </w:r>
      <w:proofErr w:type="spellStart"/>
      <w:r w:rsidRPr="00E0064A">
        <w:rPr>
          <w:i/>
          <w:szCs w:val="22"/>
          <w:lang w:val="de-DE"/>
        </w:rPr>
        <w:t>Tron</w:t>
      </w:r>
      <w:proofErr w:type="spellEnd"/>
      <w:r w:rsidRPr="00E0064A">
        <w:rPr>
          <w:i/>
          <w:szCs w:val="22"/>
          <w:lang w:val="de-DE"/>
        </w:rPr>
        <w:t xml:space="preserve">, Niederlenz, </w:t>
      </w:r>
      <w:proofErr w:type="spellStart"/>
      <w:r w:rsidRPr="00E0064A">
        <w:rPr>
          <w:i/>
          <w:szCs w:val="22"/>
          <w:lang w:val="de-DE"/>
        </w:rPr>
        <w:t>Switzerland</w:t>
      </w:r>
      <w:proofErr w:type="spellEnd"/>
      <w:r w:rsidR="009F6989">
        <w:rPr>
          <w:i/>
          <w:szCs w:val="22"/>
          <w:lang w:val="de-DE"/>
        </w:rPr>
        <w:br/>
      </w:r>
    </w:p>
    <w:p w:rsidR="00AB1BDF" w:rsidRDefault="00AB1BDF" w:rsidP="00AB1BDF">
      <w:pPr>
        <w:pStyle w:val="bild"/>
        <w:rPr>
          <w:lang w:eastAsia="ar-SA"/>
        </w:rPr>
      </w:pPr>
      <w:r w:rsidRPr="00E0064A">
        <w:rPr>
          <w:rFonts w:cs="Arial"/>
          <w:color w:val="000000" w:themeColor="text1"/>
          <w:szCs w:val="22"/>
        </w:rPr>
        <w:t xml:space="preserve">Coperion K-Tron </w:t>
      </w:r>
      <w:r w:rsidR="00D16549" w:rsidRPr="00E0064A">
        <w:rPr>
          <w:rFonts w:cs="Arial"/>
          <w:color w:val="000000" w:themeColor="text1"/>
          <w:szCs w:val="22"/>
        </w:rPr>
        <w:t xml:space="preserve">MT12 </w:t>
      </w:r>
      <w:r w:rsidR="004067E8" w:rsidRPr="00E0064A">
        <w:rPr>
          <w:rFonts w:cs="Arial"/>
          <w:color w:val="000000" w:themeColor="text1"/>
          <w:szCs w:val="22"/>
        </w:rPr>
        <w:t>Micro-Ingredient Feeder accurately feeds fine materials at rates as low as 20 g/h</w:t>
      </w:r>
      <w:r w:rsidR="00D50C40" w:rsidRPr="00E0064A">
        <w:rPr>
          <w:rFonts w:cs="Arial"/>
          <w:color w:val="000000" w:themeColor="text1"/>
          <w:szCs w:val="22"/>
        </w:rPr>
        <w:t>.</w:t>
      </w:r>
      <w:r w:rsidR="00534AB2">
        <w:rPr>
          <w:lang w:eastAsia="ar-SA"/>
        </w:rPr>
        <w:br/>
      </w:r>
      <w:r w:rsidR="00EC1CFC">
        <w:rPr>
          <w:lang w:eastAsia="ar-SA"/>
        </w:rPr>
        <w:t>Image</w:t>
      </w:r>
      <w:r w:rsidRPr="002F5FCA">
        <w:rPr>
          <w:lang w:eastAsia="ar-SA"/>
        </w:rPr>
        <w:t>: Coperion</w:t>
      </w:r>
      <w:r>
        <w:rPr>
          <w:lang w:eastAsia="ar-SA"/>
        </w:rPr>
        <w:t xml:space="preserve"> K-Tron, Sewell, NJ, USA</w:t>
      </w:r>
      <w:r w:rsidR="009F6989">
        <w:rPr>
          <w:lang w:eastAsia="ar-SA"/>
        </w:rPr>
        <w:br/>
      </w:r>
    </w:p>
    <w:p w:rsidR="00AB1BDF" w:rsidRDefault="00AB1BDF" w:rsidP="00AB1BDF">
      <w:pPr>
        <w:tabs>
          <w:tab w:val="left" w:pos="90"/>
        </w:tabs>
        <w:snapToGrid w:val="0"/>
        <w:rPr>
          <w:rFonts w:cs="Arial"/>
          <w:sz w:val="20"/>
        </w:rPr>
      </w:pPr>
    </w:p>
    <w:p w:rsidR="00AB1BDF" w:rsidRDefault="00AB1BDF" w:rsidP="00AB1BDF">
      <w:pPr>
        <w:pStyle w:val="bild"/>
        <w:rPr>
          <w:lang w:eastAsia="ar-SA"/>
        </w:rPr>
      </w:pPr>
      <w:r>
        <w:rPr>
          <w:lang w:eastAsia="ar-SA"/>
        </w:rPr>
        <w:t>Coperion K-Tron P</w:t>
      </w:r>
      <w:r w:rsidR="00534AB2">
        <w:rPr>
          <w:lang w:eastAsia="ar-SA"/>
        </w:rPr>
        <w:t>1</w:t>
      </w:r>
      <w:r>
        <w:rPr>
          <w:lang w:eastAsia="ar-SA"/>
        </w:rPr>
        <w:t>0 pneumatic conveying vacuum receiver is a c</w:t>
      </w:r>
      <w:r w:rsidRPr="00C11873">
        <w:rPr>
          <w:lang w:eastAsia="ar-SA"/>
        </w:rPr>
        <w:t xml:space="preserve">ustom </w:t>
      </w:r>
      <w:r>
        <w:rPr>
          <w:lang w:eastAsia="ar-SA"/>
        </w:rPr>
        <w:t>s</w:t>
      </w:r>
      <w:r w:rsidRPr="00C11873">
        <w:rPr>
          <w:lang w:eastAsia="ar-SA"/>
        </w:rPr>
        <w:t xml:space="preserve">olution for </w:t>
      </w:r>
      <w:r>
        <w:rPr>
          <w:lang w:eastAsia="ar-SA"/>
        </w:rPr>
        <w:t>s</w:t>
      </w:r>
      <w:r w:rsidRPr="00C11873">
        <w:rPr>
          <w:lang w:eastAsia="ar-SA"/>
        </w:rPr>
        <w:t xml:space="preserve">anitary </w:t>
      </w:r>
      <w:r>
        <w:rPr>
          <w:lang w:eastAsia="ar-SA"/>
        </w:rPr>
        <w:t>p</w:t>
      </w:r>
      <w:r w:rsidRPr="00C11873">
        <w:rPr>
          <w:lang w:eastAsia="ar-SA"/>
        </w:rPr>
        <w:t>harm</w:t>
      </w:r>
      <w:r>
        <w:rPr>
          <w:lang w:eastAsia="ar-SA"/>
        </w:rPr>
        <w:t>aceutical ingredient h</w:t>
      </w:r>
      <w:r w:rsidRPr="00C11873">
        <w:rPr>
          <w:lang w:eastAsia="ar-SA"/>
        </w:rPr>
        <w:t>andling</w:t>
      </w:r>
      <w:r>
        <w:rPr>
          <w:lang w:eastAsia="ar-SA"/>
        </w:rPr>
        <w:t>.</w:t>
      </w:r>
      <w:r w:rsidR="00EC1CFC">
        <w:rPr>
          <w:lang w:eastAsia="ar-SA"/>
        </w:rPr>
        <w:br/>
        <w:t>Image</w:t>
      </w:r>
      <w:r w:rsidRPr="002F5FCA">
        <w:rPr>
          <w:lang w:eastAsia="ar-SA"/>
        </w:rPr>
        <w:t>: Coperion</w:t>
      </w:r>
      <w:r>
        <w:rPr>
          <w:lang w:eastAsia="ar-SA"/>
        </w:rPr>
        <w:t xml:space="preserve"> K-Tron, </w:t>
      </w:r>
      <w:proofErr w:type="spellStart"/>
      <w:r>
        <w:rPr>
          <w:lang w:eastAsia="ar-SA"/>
        </w:rPr>
        <w:t>Niederlenz</w:t>
      </w:r>
      <w:proofErr w:type="spellEnd"/>
      <w:r>
        <w:rPr>
          <w:lang w:eastAsia="ar-SA"/>
        </w:rPr>
        <w:t>, Switzerland</w:t>
      </w:r>
    </w:p>
    <w:p w:rsidR="00E0064A" w:rsidRDefault="00E0064A" w:rsidP="00AB1BDF">
      <w:pPr>
        <w:pStyle w:val="bild"/>
        <w:rPr>
          <w:lang w:eastAsia="ar-SA"/>
        </w:rPr>
      </w:pPr>
    </w:p>
    <w:p w:rsidR="00AB1BDF" w:rsidRDefault="00AB1BDF" w:rsidP="00AB1BDF">
      <w:pPr>
        <w:pStyle w:val="bild"/>
      </w:pPr>
      <w:r w:rsidRPr="00B179E1">
        <w:rPr>
          <w:rFonts w:cs="Arial"/>
          <w:bCs/>
          <w:szCs w:val="22"/>
          <w:lang w:val="en-GB" w:eastAsia="ar-SA"/>
        </w:rPr>
        <w:t xml:space="preserve">The </w:t>
      </w:r>
      <w:r w:rsidR="00096082">
        <w:rPr>
          <w:rFonts w:cs="Arial"/>
          <w:bCs/>
          <w:szCs w:val="22"/>
          <w:lang w:val="en-GB" w:eastAsia="ar-SA"/>
        </w:rPr>
        <w:t xml:space="preserve">hygienic </w:t>
      </w:r>
      <w:r w:rsidR="00712E38">
        <w:rPr>
          <w:rFonts w:cs="Arial"/>
          <w:bCs/>
          <w:szCs w:val="22"/>
          <w:lang w:val="en-GB" w:eastAsia="ar-SA"/>
        </w:rPr>
        <w:t>Coperion</w:t>
      </w:r>
      <w:r w:rsidR="00096082">
        <w:rPr>
          <w:rFonts w:cs="Arial"/>
          <w:bCs/>
          <w:szCs w:val="22"/>
          <w:lang w:val="en-GB" w:eastAsia="ar-SA"/>
        </w:rPr>
        <w:t xml:space="preserve"> </w:t>
      </w:r>
      <w:r>
        <w:rPr>
          <w:rFonts w:cs="Arial"/>
          <w:bCs/>
          <w:szCs w:val="22"/>
          <w:lang w:val="en-GB" w:eastAsia="ar-SA"/>
        </w:rPr>
        <w:t xml:space="preserve">ZZB </w:t>
      </w:r>
      <w:r w:rsidRPr="00B179E1">
        <w:rPr>
          <w:rFonts w:cs="Arial"/>
          <w:bCs/>
          <w:szCs w:val="22"/>
          <w:lang w:val="en-GB" w:eastAsia="ar-SA"/>
        </w:rPr>
        <w:t>rotary valve is</w:t>
      </w:r>
      <w:r>
        <w:rPr>
          <w:rFonts w:cs="Arial"/>
          <w:bCs/>
          <w:szCs w:val="22"/>
          <w:lang w:val="en-GB" w:eastAsia="ar-SA"/>
        </w:rPr>
        <w:t xml:space="preserve"> a</w:t>
      </w:r>
      <w:r>
        <w:rPr>
          <w:lang w:eastAsia="ar-SA"/>
        </w:rPr>
        <w:t xml:space="preserve"> </w:t>
      </w:r>
      <w:r>
        <w:t xml:space="preserve">solid stainless steel rotary valve for high hygienic standards. It quickly opens with a clamp connection for easy installation and maintenance. </w:t>
      </w:r>
      <w:r w:rsidR="00EC1CFC">
        <w:br/>
        <w:t>Image</w:t>
      </w:r>
      <w:r w:rsidRPr="002F5FCA">
        <w:rPr>
          <w:lang w:eastAsia="ar-SA"/>
        </w:rPr>
        <w:t>: Coperion</w:t>
      </w:r>
      <w:r>
        <w:rPr>
          <w:lang w:eastAsia="ar-SA"/>
        </w:rPr>
        <w:t xml:space="preserve"> </w:t>
      </w:r>
      <w:r w:rsidR="00712E38">
        <w:rPr>
          <w:lang w:eastAsia="ar-SA"/>
        </w:rPr>
        <w:t>GmbH, Weingarten, Germany</w:t>
      </w:r>
    </w:p>
    <w:p w:rsidR="00FB1801" w:rsidRPr="00FB1801" w:rsidRDefault="00FB1801" w:rsidP="00AF6EBA">
      <w:pPr>
        <w:pStyle w:val="Kopfzeile"/>
        <w:rPr>
          <w:rFonts w:cs="Arial"/>
          <w:i/>
          <w:szCs w:val="22"/>
        </w:rPr>
      </w:pPr>
    </w:p>
    <w:sectPr w:rsidR="00FB1801" w:rsidRPr="00FB1801" w:rsidSect="002B6CD7">
      <w:headerReference w:type="default" r:id="rId14"/>
      <w:footerReference w:type="default" r:id="rId15"/>
      <w:headerReference w:type="first" r:id="rId16"/>
      <w:footerReference w:type="first" r:id="rId17"/>
      <w:type w:val="continuous"/>
      <w:pgSz w:w="11906" w:h="16838" w:code="9"/>
      <w:pgMar w:top="3055" w:right="1134" w:bottom="1560" w:left="1418" w:header="77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FB8" w:rsidRDefault="00317FB8">
      <w:r>
        <w:separator/>
      </w:r>
    </w:p>
  </w:endnote>
  <w:endnote w:type="continuationSeparator" w:id="0">
    <w:p w:rsidR="00317FB8" w:rsidRDefault="0031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trPr>
        <w:cantSplit/>
      </w:trPr>
      <w:tc>
        <w:tcPr>
          <w:tcW w:w="7428" w:type="dxa"/>
          <w:noWrap/>
          <w:vAlign w:val="bottom"/>
        </w:tcPr>
        <w:p w:rsidR="00B87E7F" w:rsidRDefault="00B87E7F">
          <w:pPr>
            <w:pStyle w:val="Fuzeile"/>
            <w:spacing w:line="200" w:lineRule="exact"/>
            <w:rPr>
              <w:rFonts w:cs="Arial"/>
            </w:rPr>
          </w:pPr>
          <w:bookmarkStart w:id="5" w:name="Fuss2"/>
        </w:p>
      </w:tc>
      <w:tc>
        <w:tcPr>
          <w:tcW w:w="1758" w:type="dxa"/>
          <w:noWrap/>
          <w:vAlign w:val="bottom"/>
        </w:tcPr>
        <w:p w:rsidR="00B87E7F" w:rsidRDefault="0082058A" w:rsidP="0082058A">
          <w:pPr>
            <w:pStyle w:val="Fuzeile"/>
            <w:spacing w:line="200" w:lineRule="exact"/>
            <w:jc w:val="right"/>
            <w:rPr>
              <w:rFonts w:cs="Arial"/>
              <w:szCs w:val="14"/>
            </w:rPr>
          </w:pPr>
          <w:bookmarkStart w:id="6" w:name="PageName"/>
          <w:bookmarkEnd w:id="6"/>
          <w:r>
            <w:rPr>
              <w:rFonts w:cs="Arial"/>
              <w:szCs w:val="14"/>
            </w:rPr>
            <w:t>Page</w:t>
          </w:r>
          <w:r w:rsidR="00B87E7F">
            <w:rPr>
              <w:rFonts w:cs="Arial"/>
              <w:szCs w:val="14"/>
            </w:rPr>
            <w:t xml:space="preserv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785EAC">
            <w:rPr>
              <w:rFonts w:cs="Arial"/>
              <w:noProof/>
              <w:szCs w:val="14"/>
            </w:rPr>
            <w:t>1</w:t>
          </w:r>
          <w:r w:rsidR="00B87E7F">
            <w:rPr>
              <w:rFonts w:cs="Arial"/>
              <w:szCs w:val="14"/>
            </w:rPr>
            <w:fldChar w:fldCharType="end"/>
          </w:r>
          <w:r w:rsidR="00B87E7F">
            <w:rPr>
              <w:rFonts w:cs="Arial"/>
              <w:szCs w:val="14"/>
            </w:rPr>
            <w:t xml:space="preserve"> </w:t>
          </w:r>
          <w:r>
            <w:rPr>
              <w:rFonts w:cs="Arial"/>
              <w:szCs w:val="14"/>
            </w:rPr>
            <w:t>of</w:t>
          </w:r>
          <w:r w:rsidR="00B87E7F">
            <w:rPr>
              <w:rFonts w:cs="Arial"/>
              <w:szCs w:val="14"/>
            </w:rPr>
            <w:t xml:space="preserve">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785EAC">
            <w:rPr>
              <w:rStyle w:val="Seitenzahl"/>
              <w:noProof/>
            </w:rPr>
            <w:t>5</w:t>
          </w:r>
          <w:r w:rsidR="00B87E7F">
            <w:rPr>
              <w:rStyle w:val="Seitenzahl"/>
            </w:rPr>
            <w:fldChar w:fldCharType="end"/>
          </w:r>
        </w:p>
      </w:tc>
      <w:tc>
        <w:tcPr>
          <w:tcW w:w="567" w:type="dxa"/>
          <w:vAlign w:val="bottom"/>
        </w:tcPr>
        <w:p w:rsidR="00B87E7F" w:rsidRDefault="00B87E7F">
          <w:pPr>
            <w:pStyle w:val="Fuzeile"/>
            <w:spacing w:line="200" w:lineRule="exact"/>
            <w:rPr>
              <w:rFonts w:cs="Arial"/>
              <w:szCs w:val="14"/>
            </w:rPr>
          </w:pPr>
        </w:p>
      </w:tc>
    </w:tr>
    <w:bookmarkEnd w:id="5"/>
  </w:tbl>
  <w:p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tc>
        <w:tcPr>
          <w:tcW w:w="7371" w:type="dxa"/>
          <w:tcMar>
            <w:left w:w="0" w:type="dxa"/>
            <w:right w:w="0" w:type="dxa"/>
          </w:tcMar>
          <w:vAlign w:val="bottom"/>
        </w:tcPr>
        <w:p w:rsidR="00B87E7F" w:rsidRDefault="00B87E7F">
          <w:pPr>
            <w:pStyle w:val="Fuzeile"/>
            <w:spacing w:line="200" w:lineRule="exact"/>
            <w:rPr>
              <w:rFonts w:cs="Arial"/>
              <w:szCs w:val="14"/>
            </w:rPr>
          </w:pPr>
          <w:bookmarkStart w:id="10" w:name="GeneralPartnerLinks"/>
          <w:bookmarkStart w:id="11" w:name="Fuss1"/>
          <w:bookmarkEnd w:id="10"/>
        </w:p>
      </w:tc>
      <w:tc>
        <w:tcPr>
          <w:tcW w:w="2835" w:type="dxa"/>
          <w:tcMar>
            <w:left w:w="0" w:type="dxa"/>
            <w:right w:w="0" w:type="dxa"/>
          </w:tcMar>
        </w:tcPr>
        <w:p w:rsidR="00B87E7F" w:rsidRDefault="00B87E7F">
          <w:pPr>
            <w:rPr>
              <w:sz w:val="14"/>
            </w:rPr>
          </w:pPr>
          <w:bookmarkStart w:id="12" w:name="GeneralPartnerRechts"/>
          <w:bookmarkEnd w:id="12"/>
        </w:p>
      </w:tc>
    </w:tr>
  </w:tbl>
  <w:p w:rsidR="00B87E7F" w:rsidRDefault="00B87E7F">
    <w:pPr>
      <w:rPr>
        <w:sz w:val="14"/>
      </w:rPr>
    </w:pPr>
  </w:p>
  <w:bookmarkEnd w:id="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FB8" w:rsidRDefault="00317FB8">
      <w:r>
        <w:separator/>
      </w:r>
    </w:p>
  </w:footnote>
  <w:footnote w:type="continuationSeparator" w:id="0">
    <w:p w:rsidR="00317FB8" w:rsidRDefault="00317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rsidTr="00A81175">
      <w:trPr>
        <w:trHeight w:hRule="exact" w:val="794"/>
      </w:trPr>
      <w:tc>
        <w:tcPr>
          <w:tcW w:w="5925" w:type="dxa"/>
          <w:noWrap/>
          <w:vAlign w:val="bottom"/>
        </w:tcPr>
        <w:p w:rsidR="00B87E7F" w:rsidRDefault="00B87E7F">
          <w:pPr>
            <w:pStyle w:val="Kopfzeile"/>
            <w:widowControl w:val="0"/>
            <w:rPr>
              <w:rFonts w:cs="Arial"/>
              <w:sz w:val="16"/>
              <w:szCs w:val="16"/>
            </w:rPr>
          </w:pPr>
          <w:bookmarkStart w:id="2" w:name="Kopf2"/>
        </w:p>
      </w:tc>
      <w:tc>
        <w:tcPr>
          <w:tcW w:w="3686" w:type="dxa"/>
          <w:noWrap/>
          <w:tcMar>
            <w:left w:w="17" w:type="dxa"/>
          </w:tcMar>
          <w:vAlign w:val="bottom"/>
        </w:tcPr>
        <w:p w:rsidR="00B87E7F" w:rsidRDefault="00A81175" w:rsidP="00A81175">
          <w:pPr>
            <w:pStyle w:val="Kopfzeile"/>
            <w:tabs>
              <w:tab w:val="left" w:pos="5273"/>
              <w:tab w:val="left" w:pos="6480"/>
            </w:tabs>
            <w:jc w:val="right"/>
            <w:rPr>
              <w:sz w:val="16"/>
              <w:szCs w:val="16"/>
            </w:rPr>
          </w:pPr>
          <w:r>
            <w:rPr>
              <w:noProof/>
              <w:sz w:val="16"/>
              <w:szCs w:val="16"/>
              <w:lang w:val="de-DE" w:eastAsia="zh-CN"/>
            </w:rPr>
            <w:drawing>
              <wp:inline distT="0" distB="0" distL="0" distR="0" wp14:anchorId="08A9A8DF" wp14:editId="6FC035B2">
                <wp:extent cx="1891494" cy="447704"/>
                <wp:effectExtent l="0" t="0" r="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892029" cy="447831"/>
                        </a:xfrm>
                        <a:prstGeom prst="rect">
                          <a:avLst/>
                        </a:prstGeom>
                      </pic:spPr>
                    </pic:pic>
                  </a:graphicData>
                </a:graphic>
              </wp:inline>
            </w:drawing>
          </w:r>
        </w:p>
      </w:tc>
    </w:tr>
    <w:tr w:rsidR="00B87E7F" w:rsidTr="00A81175">
      <w:trPr>
        <w:trHeight w:hRule="exact" w:val="1049"/>
      </w:trPr>
      <w:tc>
        <w:tcPr>
          <w:tcW w:w="5925" w:type="dxa"/>
          <w:noWrap/>
          <w:tcMar>
            <w:left w:w="284" w:type="dxa"/>
          </w:tcMar>
          <w:vAlign w:val="bottom"/>
        </w:tcPr>
        <w:p w:rsidR="00B87E7F" w:rsidRDefault="00E40B63" w:rsidP="00E40B63">
          <w:pPr>
            <w:pStyle w:val="Kopfzeile"/>
            <w:widowControl w:val="0"/>
            <w:spacing w:line="340" w:lineRule="exact"/>
          </w:pPr>
          <w:bookmarkStart w:id="3" w:name="HeaderPage2Date"/>
          <w:bookmarkEnd w:id="3"/>
          <w:r w:rsidRPr="00A72E5D">
            <w:rPr>
              <w:rFonts w:cs="Arial"/>
              <w:b/>
              <w:sz w:val="32"/>
              <w:szCs w:val="32"/>
            </w:rPr>
            <w:t>FOR IMMEDIATE RELEASE</w:t>
          </w:r>
        </w:p>
      </w:tc>
      <w:tc>
        <w:tcPr>
          <w:tcW w:w="3686" w:type="dxa"/>
          <w:noWrap/>
          <w:tcMar>
            <w:left w:w="68" w:type="dxa"/>
          </w:tcMar>
          <w:vAlign w:val="bottom"/>
        </w:tcPr>
        <w:p w:rsidR="00B87E7F" w:rsidRDefault="00E40B63" w:rsidP="000954FC">
          <w:pPr>
            <w:pStyle w:val="Kopfzeile"/>
            <w:tabs>
              <w:tab w:val="left" w:pos="1474"/>
              <w:tab w:val="left" w:pos="5273"/>
              <w:tab w:val="left" w:pos="6480"/>
            </w:tabs>
            <w:spacing w:line="200" w:lineRule="exact"/>
            <w:ind w:right="440"/>
            <w:jc w:val="center"/>
          </w:pPr>
          <w:bookmarkStart w:id="4" w:name="HeaderPage2Name"/>
          <w:bookmarkEnd w:id="4"/>
          <w:r>
            <w:t xml:space="preserve">                </w:t>
          </w:r>
        </w:p>
      </w:tc>
    </w:tr>
  </w:tbl>
  <w:p w:rsidR="00B87E7F" w:rsidRDefault="00B87E7F"/>
  <w:bookmarkEnd w:id="2"/>
  <w:p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rsidTr="00A81175">
      <w:trPr>
        <w:trHeight w:hRule="exact" w:val="794"/>
      </w:trPr>
      <w:tc>
        <w:tcPr>
          <w:tcW w:w="6067" w:type="dxa"/>
          <w:noWrap/>
          <w:vAlign w:val="bottom"/>
        </w:tcPr>
        <w:p w:rsidR="00B87E7F" w:rsidRDefault="00B87E7F">
          <w:pPr>
            <w:pStyle w:val="Kopfzeile"/>
            <w:widowControl w:val="0"/>
            <w:rPr>
              <w:rFonts w:cs="Arial"/>
              <w:sz w:val="16"/>
              <w:szCs w:val="16"/>
            </w:rPr>
          </w:pPr>
          <w:bookmarkStart w:id="7" w:name="Kopf1"/>
        </w:p>
      </w:tc>
      <w:tc>
        <w:tcPr>
          <w:tcW w:w="3544" w:type="dxa"/>
          <w:noWrap/>
          <w:tcMar>
            <w:left w:w="17" w:type="dxa"/>
          </w:tcMar>
          <w:vAlign w:val="bottom"/>
        </w:tcPr>
        <w:p w:rsidR="00B87E7F" w:rsidRDefault="00E40B63" w:rsidP="00A81175">
          <w:pPr>
            <w:pStyle w:val="Kopfzeile"/>
            <w:tabs>
              <w:tab w:val="left" w:pos="1772"/>
              <w:tab w:val="left" w:pos="5273"/>
              <w:tab w:val="left" w:pos="6480"/>
            </w:tabs>
            <w:spacing w:after="10"/>
            <w:jc w:val="right"/>
            <w:rPr>
              <w:sz w:val="16"/>
              <w:szCs w:val="16"/>
            </w:rPr>
          </w:pPr>
          <w:r>
            <w:rPr>
              <w:noProof/>
              <w:sz w:val="16"/>
              <w:szCs w:val="16"/>
              <w:lang w:val="de-DE" w:eastAsia="zh-CN"/>
            </w:rPr>
            <w:drawing>
              <wp:inline distT="0" distB="0" distL="0" distR="0" wp14:anchorId="3BD8E0D4" wp14:editId="0A3605E7">
                <wp:extent cx="2151064" cy="509142"/>
                <wp:effectExtent l="0" t="0" r="1905" b="571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2150894" cy="509102"/>
                        </a:xfrm>
                        <a:prstGeom prst="rect">
                          <a:avLst/>
                        </a:prstGeom>
                      </pic:spPr>
                    </pic:pic>
                  </a:graphicData>
                </a:graphic>
              </wp:inline>
            </w:drawing>
          </w:r>
        </w:p>
      </w:tc>
    </w:tr>
    <w:tr w:rsidR="00B87E7F" w:rsidTr="00A81175">
      <w:trPr>
        <w:trHeight w:hRule="exact" w:val="1047"/>
      </w:trPr>
      <w:tc>
        <w:tcPr>
          <w:tcW w:w="6067" w:type="dxa"/>
          <w:noWrap/>
          <w:tcMar>
            <w:left w:w="352" w:type="dxa"/>
          </w:tcMar>
          <w:vAlign w:val="bottom"/>
        </w:tcPr>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p w:rsidR="00B87E7F" w:rsidRDefault="00B87E7F">
          <w:pPr>
            <w:pStyle w:val="Kopfzeile"/>
            <w:widowControl w:val="0"/>
            <w:spacing w:line="200" w:lineRule="exact"/>
            <w:rPr>
              <w:rFonts w:cs="Arial"/>
            </w:rPr>
          </w:pPr>
        </w:p>
      </w:tc>
      <w:tc>
        <w:tcPr>
          <w:tcW w:w="3544" w:type="dxa"/>
          <w:noWrap/>
          <w:tcMar>
            <w:left w:w="0" w:type="dxa"/>
          </w:tcMar>
          <w:vAlign w:val="bottom"/>
        </w:tcPr>
        <w:p w:rsidR="00B87E7F" w:rsidRDefault="00B87E7F">
          <w:pPr>
            <w:pStyle w:val="Kopfzeile"/>
            <w:tabs>
              <w:tab w:val="left" w:pos="5273"/>
              <w:tab w:val="left" w:pos="6480"/>
            </w:tabs>
            <w:rPr>
              <w:szCs w:val="22"/>
            </w:rPr>
          </w:pPr>
          <w:bookmarkStart w:id="8" w:name="TitleLine01"/>
          <w:bookmarkEnd w:id="8"/>
        </w:p>
        <w:p w:rsidR="00B87E7F" w:rsidRDefault="00B87E7F">
          <w:pPr>
            <w:pStyle w:val="Kopfzeile"/>
            <w:tabs>
              <w:tab w:val="left" w:pos="5273"/>
              <w:tab w:val="left" w:pos="6480"/>
            </w:tabs>
            <w:rPr>
              <w:sz w:val="14"/>
              <w:szCs w:val="14"/>
            </w:rPr>
          </w:pPr>
          <w:bookmarkStart w:id="9" w:name="TitleLine02"/>
          <w:bookmarkEnd w:id="9"/>
        </w:p>
      </w:tc>
    </w:tr>
  </w:tbl>
  <w:p w:rsidR="00B87E7F" w:rsidRDefault="00B87E7F">
    <w:pPr>
      <w:pStyle w:val="Kopfzeile"/>
      <w:rPr>
        <w:sz w:val="14"/>
        <w:szCs w:val="14"/>
      </w:rPr>
    </w:pPr>
  </w:p>
  <w:bookmarkEnd w:i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77F1"/>
    <w:rsid w:val="00045BBE"/>
    <w:rsid w:val="000517CE"/>
    <w:rsid w:val="00052988"/>
    <w:rsid w:val="000954FC"/>
    <w:rsid w:val="00096082"/>
    <w:rsid w:val="00097C2A"/>
    <w:rsid w:val="000A3B56"/>
    <w:rsid w:val="000B34C3"/>
    <w:rsid w:val="000B7A88"/>
    <w:rsid w:val="000C277B"/>
    <w:rsid w:val="000C4E23"/>
    <w:rsid w:val="000C5C61"/>
    <w:rsid w:val="000C69F6"/>
    <w:rsid w:val="000D6F4C"/>
    <w:rsid w:val="000E7C73"/>
    <w:rsid w:val="000F4431"/>
    <w:rsid w:val="000F55C1"/>
    <w:rsid w:val="000F5979"/>
    <w:rsid w:val="001008C9"/>
    <w:rsid w:val="00100DAA"/>
    <w:rsid w:val="001016A1"/>
    <w:rsid w:val="001162C4"/>
    <w:rsid w:val="00122065"/>
    <w:rsid w:val="0013631C"/>
    <w:rsid w:val="0015228F"/>
    <w:rsid w:val="0015764A"/>
    <w:rsid w:val="00166233"/>
    <w:rsid w:val="001A7E41"/>
    <w:rsid w:val="001B1CFC"/>
    <w:rsid w:val="001B732F"/>
    <w:rsid w:val="001C7D25"/>
    <w:rsid w:val="001D11EE"/>
    <w:rsid w:val="0021568C"/>
    <w:rsid w:val="002225E0"/>
    <w:rsid w:val="00266C34"/>
    <w:rsid w:val="002703CB"/>
    <w:rsid w:val="00270D8C"/>
    <w:rsid w:val="002A62FF"/>
    <w:rsid w:val="002B6CD7"/>
    <w:rsid w:val="00313276"/>
    <w:rsid w:val="00317FB8"/>
    <w:rsid w:val="003274E9"/>
    <w:rsid w:val="0035374D"/>
    <w:rsid w:val="00357A64"/>
    <w:rsid w:val="003603C8"/>
    <w:rsid w:val="003652EC"/>
    <w:rsid w:val="00381C1A"/>
    <w:rsid w:val="00392AA7"/>
    <w:rsid w:val="003A0319"/>
    <w:rsid w:val="003B20DF"/>
    <w:rsid w:val="003B46B8"/>
    <w:rsid w:val="003C76F6"/>
    <w:rsid w:val="003D42FC"/>
    <w:rsid w:val="0040051E"/>
    <w:rsid w:val="004067E8"/>
    <w:rsid w:val="0040684D"/>
    <w:rsid w:val="00441C23"/>
    <w:rsid w:val="0045290E"/>
    <w:rsid w:val="0046122F"/>
    <w:rsid w:val="0046653D"/>
    <w:rsid w:val="00476D50"/>
    <w:rsid w:val="00480147"/>
    <w:rsid w:val="00484260"/>
    <w:rsid w:val="004A4286"/>
    <w:rsid w:val="004F1BBB"/>
    <w:rsid w:val="005319AE"/>
    <w:rsid w:val="00534AB2"/>
    <w:rsid w:val="005375D7"/>
    <w:rsid w:val="00545086"/>
    <w:rsid w:val="0054598E"/>
    <w:rsid w:val="00553842"/>
    <w:rsid w:val="005577CC"/>
    <w:rsid w:val="005749DF"/>
    <w:rsid w:val="0057627B"/>
    <w:rsid w:val="00577627"/>
    <w:rsid w:val="005826D4"/>
    <w:rsid w:val="00590AE1"/>
    <w:rsid w:val="005A29A5"/>
    <w:rsid w:val="005B68E7"/>
    <w:rsid w:val="005E5AD8"/>
    <w:rsid w:val="00606E25"/>
    <w:rsid w:val="0062498E"/>
    <w:rsid w:val="00647DEC"/>
    <w:rsid w:val="0065422C"/>
    <w:rsid w:val="00657BED"/>
    <w:rsid w:val="00663A57"/>
    <w:rsid w:val="0066781E"/>
    <w:rsid w:val="0068644B"/>
    <w:rsid w:val="006A685F"/>
    <w:rsid w:val="00705682"/>
    <w:rsid w:val="00712E38"/>
    <w:rsid w:val="00746679"/>
    <w:rsid w:val="00753960"/>
    <w:rsid w:val="00757E2B"/>
    <w:rsid w:val="00785EAC"/>
    <w:rsid w:val="007862F4"/>
    <w:rsid w:val="007974BD"/>
    <w:rsid w:val="007A401D"/>
    <w:rsid w:val="007B4B51"/>
    <w:rsid w:val="007E2FA8"/>
    <w:rsid w:val="00816B6E"/>
    <w:rsid w:val="0082058A"/>
    <w:rsid w:val="00826988"/>
    <w:rsid w:val="0083215A"/>
    <w:rsid w:val="008346CD"/>
    <w:rsid w:val="00853AC6"/>
    <w:rsid w:val="008609A9"/>
    <w:rsid w:val="00866220"/>
    <w:rsid w:val="008815B2"/>
    <w:rsid w:val="00911076"/>
    <w:rsid w:val="0091332A"/>
    <w:rsid w:val="00940963"/>
    <w:rsid w:val="00944246"/>
    <w:rsid w:val="00970BB4"/>
    <w:rsid w:val="009721CF"/>
    <w:rsid w:val="00973366"/>
    <w:rsid w:val="00995BAA"/>
    <w:rsid w:val="009A65EF"/>
    <w:rsid w:val="009B31F5"/>
    <w:rsid w:val="009E3DAF"/>
    <w:rsid w:val="009F27A6"/>
    <w:rsid w:val="009F6989"/>
    <w:rsid w:val="00A11667"/>
    <w:rsid w:val="00A138A1"/>
    <w:rsid w:val="00A3014D"/>
    <w:rsid w:val="00A63D0D"/>
    <w:rsid w:val="00A667B3"/>
    <w:rsid w:val="00A81175"/>
    <w:rsid w:val="00A93D9D"/>
    <w:rsid w:val="00AB1BDF"/>
    <w:rsid w:val="00AF6EBA"/>
    <w:rsid w:val="00AF78DE"/>
    <w:rsid w:val="00B05245"/>
    <w:rsid w:val="00B06209"/>
    <w:rsid w:val="00B207E2"/>
    <w:rsid w:val="00B21651"/>
    <w:rsid w:val="00B234F0"/>
    <w:rsid w:val="00B247D1"/>
    <w:rsid w:val="00B25A36"/>
    <w:rsid w:val="00B54B2F"/>
    <w:rsid w:val="00B5597E"/>
    <w:rsid w:val="00B75C51"/>
    <w:rsid w:val="00B87E7F"/>
    <w:rsid w:val="00BA2E9B"/>
    <w:rsid w:val="00BB050B"/>
    <w:rsid w:val="00BB7684"/>
    <w:rsid w:val="00BC01A3"/>
    <w:rsid w:val="00BD400C"/>
    <w:rsid w:val="00BE0D2B"/>
    <w:rsid w:val="00BF68DC"/>
    <w:rsid w:val="00C015ED"/>
    <w:rsid w:val="00C137E6"/>
    <w:rsid w:val="00C15829"/>
    <w:rsid w:val="00C22DB3"/>
    <w:rsid w:val="00C31B24"/>
    <w:rsid w:val="00C446A2"/>
    <w:rsid w:val="00C47247"/>
    <w:rsid w:val="00C8788D"/>
    <w:rsid w:val="00CA7844"/>
    <w:rsid w:val="00CB1CDD"/>
    <w:rsid w:val="00CE14D0"/>
    <w:rsid w:val="00CF3A5B"/>
    <w:rsid w:val="00D0349B"/>
    <w:rsid w:val="00D159F0"/>
    <w:rsid w:val="00D16549"/>
    <w:rsid w:val="00D24448"/>
    <w:rsid w:val="00D31BEE"/>
    <w:rsid w:val="00D33C22"/>
    <w:rsid w:val="00D354C4"/>
    <w:rsid w:val="00D447D8"/>
    <w:rsid w:val="00D50C40"/>
    <w:rsid w:val="00D775DD"/>
    <w:rsid w:val="00D9358A"/>
    <w:rsid w:val="00DA1F1C"/>
    <w:rsid w:val="00DD5635"/>
    <w:rsid w:val="00E0064A"/>
    <w:rsid w:val="00E0667B"/>
    <w:rsid w:val="00E33264"/>
    <w:rsid w:val="00E3719C"/>
    <w:rsid w:val="00E40B63"/>
    <w:rsid w:val="00E520BA"/>
    <w:rsid w:val="00EA1055"/>
    <w:rsid w:val="00EA56C5"/>
    <w:rsid w:val="00EA6D12"/>
    <w:rsid w:val="00EB248B"/>
    <w:rsid w:val="00EB2B19"/>
    <w:rsid w:val="00EC1CFC"/>
    <w:rsid w:val="00EC42AE"/>
    <w:rsid w:val="00EF0EB0"/>
    <w:rsid w:val="00F012BD"/>
    <w:rsid w:val="00F2224A"/>
    <w:rsid w:val="00F4020D"/>
    <w:rsid w:val="00F57981"/>
    <w:rsid w:val="00F72BD8"/>
    <w:rsid w:val="00FB1801"/>
    <w:rsid w:val="00FB185A"/>
    <w:rsid w:val="00FC2239"/>
    <w:rsid w:val="00FD2250"/>
    <w:rsid w:val="00FF051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51F"/>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AB1BDF"/>
    <w:pPr>
      <w:keepNext/>
      <w:overflowPunct w:val="0"/>
      <w:autoSpaceDE w:val="0"/>
      <w:autoSpaceDN w:val="0"/>
      <w:adjustRightInd w:val="0"/>
      <w:spacing w:before="240" w:after="240"/>
      <w:ind w:left="567" w:hanging="567"/>
      <w:textAlignment w:val="baseline"/>
      <w:outlineLvl w:val="3"/>
    </w:pPr>
    <w:rPr>
      <w:b/>
      <w:szCs w:val="20"/>
      <w:lang w:val="de-DE"/>
    </w:rPr>
  </w:style>
  <w:style w:type="paragraph" w:styleId="berschrift5">
    <w:name w:val="heading 5"/>
    <w:basedOn w:val="Standard"/>
    <w:next w:val="Standard"/>
    <w:link w:val="berschrift5Zchn"/>
    <w:qFormat/>
    <w:rsid w:val="00AB1BDF"/>
    <w:pPr>
      <w:overflowPunct w:val="0"/>
      <w:autoSpaceDE w:val="0"/>
      <w:autoSpaceDN w:val="0"/>
      <w:adjustRightInd w:val="0"/>
      <w:spacing w:before="240" w:after="240"/>
      <w:ind w:left="567" w:hanging="567"/>
      <w:textAlignment w:val="baseline"/>
      <w:outlineLvl w:val="4"/>
    </w:pPr>
    <w:rPr>
      <w:b/>
      <w:szCs w:val="20"/>
      <w:lang w:val="de-DE"/>
    </w:rPr>
  </w:style>
  <w:style w:type="paragraph" w:styleId="berschrift6">
    <w:name w:val="heading 6"/>
    <w:basedOn w:val="Standard"/>
    <w:next w:val="Standard"/>
    <w:link w:val="berschrift6Zchn"/>
    <w:qFormat/>
    <w:rsid w:val="00AB1BDF"/>
    <w:pPr>
      <w:overflowPunct w:val="0"/>
      <w:autoSpaceDE w:val="0"/>
      <w:autoSpaceDN w:val="0"/>
      <w:adjustRightInd w:val="0"/>
      <w:spacing w:before="240" w:after="240"/>
      <w:ind w:left="567" w:hanging="567"/>
      <w:textAlignment w:val="baseline"/>
      <w:outlineLvl w:val="5"/>
    </w:pPr>
    <w:rPr>
      <w:b/>
      <w:szCs w:val="20"/>
      <w:lang w:val="de-DE"/>
    </w:rPr>
  </w:style>
  <w:style w:type="paragraph" w:styleId="berschrift7">
    <w:name w:val="heading 7"/>
    <w:basedOn w:val="Standard"/>
    <w:next w:val="Standard"/>
    <w:link w:val="berschrift7Zchn"/>
    <w:qFormat/>
    <w:rsid w:val="00AB1BDF"/>
    <w:pPr>
      <w:overflowPunct w:val="0"/>
      <w:autoSpaceDE w:val="0"/>
      <w:autoSpaceDN w:val="0"/>
      <w:adjustRightInd w:val="0"/>
      <w:spacing w:before="240" w:after="240"/>
      <w:ind w:left="567" w:hanging="567"/>
      <w:textAlignment w:val="baseline"/>
      <w:outlineLvl w:val="6"/>
    </w:pPr>
    <w:rPr>
      <w:b/>
      <w:szCs w:val="20"/>
      <w:lang w:val="de-DE"/>
    </w:rPr>
  </w:style>
  <w:style w:type="paragraph" w:styleId="berschrift8">
    <w:name w:val="heading 8"/>
    <w:basedOn w:val="Standard"/>
    <w:next w:val="Standard"/>
    <w:link w:val="berschrift8Zchn"/>
    <w:qFormat/>
    <w:rsid w:val="00AB1BDF"/>
    <w:pPr>
      <w:overflowPunct w:val="0"/>
      <w:autoSpaceDE w:val="0"/>
      <w:autoSpaceDN w:val="0"/>
      <w:adjustRightInd w:val="0"/>
      <w:spacing w:before="240" w:after="240"/>
      <w:ind w:left="567" w:hanging="567"/>
      <w:textAlignment w:val="baseline"/>
      <w:outlineLvl w:val="7"/>
    </w:pPr>
    <w:rPr>
      <w:b/>
      <w:szCs w:val="20"/>
      <w:lang w:val="de-DE"/>
    </w:rPr>
  </w:style>
  <w:style w:type="paragraph" w:styleId="berschrift9">
    <w:name w:val="heading 9"/>
    <w:basedOn w:val="Standard"/>
    <w:next w:val="Standard"/>
    <w:link w:val="berschrift9Zchn"/>
    <w:qFormat/>
    <w:rsid w:val="00AB1BDF"/>
    <w:pPr>
      <w:overflowPunct w:val="0"/>
      <w:autoSpaceDE w:val="0"/>
      <w:autoSpaceDN w:val="0"/>
      <w:adjustRightInd w:val="0"/>
      <w:spacing w:before="240" w:after="240"/>
      <w:ind w:left="567" w:hanging="567"/>
      <w:textAlignment w:val="baseline"/>
      <w:outlineLvl w:val="8"/>
    </w:pPr>
    <w:rPr>
      <w:b/>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uiPriority w:val="22"/>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AB1BDF"/>
    <w:rPr>
      <w:rFonts w:ascii="Arial" w:hAnsi="Arial"/>
      <w:b/>
      <w:sz w:val="22"/>
      <w:lang w:eastAsia="de-DE"/>
    </w:rPr>
  </w:style>
  <w:style w:type="character" w:customStyle="1" w:styleId="berschrift5Zchn">
    <w:name w:val="Überschrift 5 Zchn"/>
    <w:basedOn w:val="Absatz-Standardschriftart"/>
    <w:link w:val="berschrift5"/>
    <w:rsid w:val="00AB1BDF"/>
    <w:rPr>
      <w:rFonts w:ascii="Arial" w:hAnsi="Arial"/>
      <w:b/>
      <w:sz w:val="22"/>
      <w:lang w:eastAsia="de-DE"/>
    </w:rPr>
  </w:style>
  <w:style w:type="character" w:customStyle="1" w:styleId="berschrift6Zchn">
    <w:name w:val="Überschrift 6 Zchn"/>
    <w:basedOn w:val="Absatz-Standardschriftart"/>
    <w:link w:val="berschrift6"/>
    <w:rsid w:val="00AB1BDF"/>
    <w:rPr>
      <w:rFonts w:ascii="Arial" w:hAnsi="Arial"/>
      <w:b/>
      <w:sz w:val="22"/>
      <w:lang w:eastAsia="de-DE"/>
    </w:rPr>
  </w:style>
  <w:style w:type="character" w:customStyle="1" w:styleId="berschrift7Zchn">
    <w:name w:val="Überschrift 7 Zchn"/>
    <w:basedOn w:val="Absatz-Standardschriftart"/>
    <w:link w:val="berschrift7"/>
    <w:rsid w:val="00AB1BDF"/>
    <w:rPr>
      <w:rFonts w:ascii="Arial" w:hAnsi="Arial"/>
      <w:b/>
      <w:sz w:val="22"/>
      <w:lang w:eastAsia="de-DE"/>
    </w:rPr>
  </w:style>
  <w:style w:type="character" w:customStyle="1" w:styleId="berschrift8Zchn">
    <w:name w:val="Überschrift 8 Zchn"/>
    <w:basedOn w:val="Absatz-Standardschriftart"/>
    <w:link w:val="berschrift8"/>
    <w:rsid w:val="00AB1BDF"/>
    <w:rPr>
      <w:rFonts w:ascii="Arial" w:hAnsi="Arial"/>
      <w:b/>
      <w:sz w:val="22"/>
      <w:lang w:eastAsia="de-DE"/>
    </w:rPr>
  </w:style>
  <w:style w:type="character" w:customStyle="1" w:styleId="berschrift9Zchn">
    <w:name w:val="Überschrift 9 Zchn"/>
    <w:basedOn w:val="Absatz-Standardschriftart"/>
    <w:link w:val="berschrift9"/>
    <w:rsid w:val="00AB1BDF"/>
    <w:rPr>
      <w:rFonts w:ascii="Arial" w:hAnsi="Arial"/>
      <w:b/>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051F"/>
    <w:rPr>
      <w:rFonts w:ascii="Arial" w:hAnsi="Arial"/>
      <w:sz w:val="22"/>
      <w:szCs w:val="24"/>
      <w:lang w:val="en-US"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AB1BDF"/>
    <w:pPr>
      <w:keepNext/>
      <w:overflowPunct w:val="0"/>
      <w:autoSpaceDE w:val="0"/>
      <w:autoSpaceDN w:val="0"/>
      <w:adjustRightInd w:val="0"/>
      <w:spacing w:before="240" w:after="240"/>
      <w:ind w:left="567" w:hanging="567"/>
      <w:textAlignment w:val="baseline"/>
      <w:outlineLvl w:val="3"/>
    </w:pPr>
    <w:rPr>
      <w:b/>
      <w:szCs w:val="20"/>
      <w:lang w:val="de-DE"/>
    </w:rPr>
  </w:style>
  <w:style w:type="paragraph" w:styleId="berschrift5">
    <w:name w:val="heading 5"/>
    <w:basedOn w:val="Standard"/>
    <w:next w:val="Standard"/>
    <w:link w:val="berschrift5Zchn"/>
    <w:qFormat/>
    <w:rsid w:val="00AB1BDF"/>
    <w:pPr>
      <w:overflowPunct w:val="0"/>
      <w:autoSpaceDE w:val="0"/>
      <w:autoSpaceDN w:val="0"/>
      <w:adjustRightInd w:val="0"/>
      <w:spacing w:before="240" w:after="240"/>
      <w:ind w:left="567" w:hanging="567"/>
      <w:textAlignment w:val="baseline"/>
      <w:outlineLvl w:val="4"/>
    </w:pPr>
    <w:rPr>
      <w:b/>
      <w:szCs w:val="20"/>
      <w:lang w:val="de-DE"/>
    </w:rPr>
  </w:style>
  <w:style w:type="paragraph" w:styleId="berschrift6">
    <w:name w:val="heading 6"/>
    <w:basedOn w:val="Standard"/>
    <w:next w:val="Standard"/>
    <w:link w:val="berschrift6Zchn"/>
    <w:qFormat/>
    <w:rsid w:val="00AB1BDF"/>
    <w:pPr>
      <w:overflowPunct w:val="0"/>
      <w:autoSpaceDE w:val="0"/>
      <w:autoSpaceDN w:val="0"/>
      <w:adjustRightInd w:val="0"/>
      <w:spacing w:before="240" w:after="240"/>
      <w:ind w:left="567" w:hanging="567"/>
      <w:textAlignment w:val="baseline"/>
      <w:outlineLvl w:val="5"/>
    </w:pPr>
    <w:rPr>
      <w:b/>
      <w:szCs w:val="20"/>
      <w:lang w:val="de-DE"/>
    </w:rPr>
  </w:style>
  <w:style w:type="paragraph" w:styleId="berschrift7">
    <w:name w:val="heading 7"/>
    <w:basedOn w:val="Standard"/>
    <w:next w:val="Standard"/>
    <w:link w:val="berschrift7Zchn"/>
    <w:qFormat/>
    <w:rsid w:val="00AB1BDF"/>
    <w:pPr>
      <w:overflowPunct w:val="0"/>
      <w:autoSpaceDE w:val="0"/>
      <w:autoSpaceDN w:val="0"/>
      <w:adjustRightInd w:val="0"/>
      <w:spacing w:before="240" w:after="240"/>
      <w:ind w:left="567" w:hanging="567"/>
      <w:textAlignment w:val="baseline"/>
      <w:outlineLvl w:val="6"/>
    </w:pPr>
    <w:rPr>
      <w:b/>
      <w:szCs w:val="20"/>
      <w:lang w:val="de-DE"/>
    </w:rPr>
  </w:style>
  <w:style w:type="paragraph" w:styleId="berschrift8">
    <w:name w:val="heading 8"/>
    <w:basedOn w:val="Standard"/>
    <w:next w:val="Standard"/>
    <w:link w:val="berschrift8Zchn"/>
    <w:qFormat/>
    <w:rsid w:val="00AB1BDF"/>
    <w:pPr>
      <w:overflowPunct w:val="0"/>
      <w:autoSpaceDE w:val="0"/>
      <w:autoSpaceDN w:val="0"/>
      <w:adjustRightInd w:val="0"/>
      <w:spacing w:before="240" w:after="240"/>
      <w:ind w:left="567" w:hanging="567"/>
      <w:textAlignment w:val="baseline"/>
      <w:outlineLvl w:val="7"/>
    </w:pPr>
    <w:rPr>
      <w:b/>
      <w:szCs w:val="20"/>
      <w:lang w:val="de-DE"/>
    </w:rPr>
  </w:style>
  <w:style w:type="paragraph" w:styleId="berschrift9">
    <w:name w:val="heading 9"/>
    <w:basedOn w:val="Standard"/>
    <w:next w:val="Standard"/>
    <w:link w:val="berschrift9Zchn"/>
    <w:qFormat/>
    <w:rsid w:val="00AB1BDF"/>
    <w:pPr>
      <w:overflowPunct w:val="0"/>
      <w:autoSpaceDE w:val="0"/>
      <w:autoSpaceDN w:val="0"/>
      <w:adjustRightInd w:val="0"/>
      <w:spacing w:before="240" w:after="240"/>
      <w:ind w:left="567" w:hanging="567"/>
      <w:textAlignment w:val="baseline"/>
      <w:outlineLvl w:val="8"/>
    </w:pPr>
    <w:rPr>
      <w:b/>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uiPriority w:val="22"/>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val="en-US"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en-US" w:eastAsia="en-US"/>
    </w:rPr>
  </w:style>
  <w:style w:type="character" w:customStyle="1" w:styleId="berschrift4Zchn">
    <w:name w:val="Überschrift 4 Zchn"/>
    <w:basedOn w:val="Absatz-Standardschriftart"/>
    <w:link w:val="berschrift4"/>
    <w:rsid w:val="00AB1BDF"/>
    <w:rPr>
      <w:rFonts w:ascii="Arial" w:hAnsi="Arial"/>
      <w:b/>
      <w:sz w:val="22"/>
      <w:lang w:eastAsia="de-DE"/>
    </w:rPr>
  </w:style>
  <w:style w:type="character" w:customStyle="1" w:styleId="berschrift5Zchn">
    <w:name w:val="Überschrift 5 Zchn"/>
    <w:basedOn w:val="Absatz-Standardschriftart"/>
    <w:link w:val="berschrift5"/>
    <w:rsid w:val="00AB1BDF"/>
    <w:rPr>
      <w:rFonts w:ascii="Arial" w:hAnsi="Arial"/>
      <w:b/>
      <w:sz w:val="22"/>
      <w:lang w:eastAsia="de-DE"/>
    </w:rPr>
  </w:style>
  <w:style w:type="character" w:customStyle="1" w:styleId="berschrift6Zchn">
    <w:name w:val="Überschrift 6 Zchn"/>
    <w:basedOn w:val="Absatz-Standardschriftart"/>
    <w:link w:val="berschrift6"/>
    <w:rsid w:val="00AB1BDF"/>
    <w:rPr>
      <w:rFonts w:ascii="Arial" w:hAnsi="Arial"/>
      <w:b/>
      <w:sz w:val="22"/>
      <w:lang w:eastAsia="de-DE"/>
    </w:rPr>
  </w:style>
  <w:style w:type="character" w:customStyle="1" w:styleId="berschrift7Zchn">
    <w:name w:val="Überschrift 7 Zchn"/>
    <w:basedOn w:val="Absatz-Standardschriftart"/>
    <w:link w:val="berschrift7"/>
    <w:rsid w:val="00AB1BDF"/>
    <w:rPr>
      <w:rFonts w:ascii="Arial" w:hAnsi="Arial"/>
      <w:b/>
      <w:sz w:val="22"/>
      <w:lang w:eastAsia="de-DE"/>
    </w:rPr>
  </w:style>
  <w:style w:type="character" w:customStyle="1" w:styleId="berschrift8Zchn">
    <w:name w:val="Überschrift 8 Zchn"/>
    <w:basedOn w:val="Absatz-Standardschriftart"/>
    <w:link w:val="berschrift8"/>
    <w:rsid w:val="00AB1BDF"/>
    <w:rPr>
      <w:rFonts w:ascii="Arial" w:hAnsi="Arial"/>
      <w:b/>
      <w:sz w:val="22"/>
      <w:lang w:eastAsia="de-DE"/>
    </w:rPr>
  </w:style>
  <w:style w:type="character" w:customStyle="1" w:styleId="berschrift9Zchn">
    <w:name w:val="Überschrift 9 Zchn"/>
    <w:basedOn w:val="Absatz-Standardschriftart"/>
    <w:link w:val="berschrift9"/>
    <w:rsid w:val="00AB1BDF"/>
    <w:rPr>
      <w:rFonts w:ascii="Arial" w:hAnsi="Arial"/>
      <w:b/>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ens.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operion.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perion.com/Interphex2018"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BlankDoc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0A31-7F6A-4A8D-8E8A-B4C26639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CoperionBlankDocument.dot</Template>
  <TotalTime>0</TotalTime>
  <Pages>5</Pages>
  <Words>1480</Words>
  <Characters>9324</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 Blank Document</vt:lpstr>
      <vt:lpstr>Coperion Blank Document</vt:lpstr>
    </vt:vector>
  </TitlesOfParts>
  <Company>Coperion</Company>
  <LinksUpToDate>false</LinksUpToDate>
  <CharactersWithSpaces>10783</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König Bettina</cp:lastModifiedBy>
  <cp:revision>6</cp:revision>
  <cp:lastPrinted>2018-02-20T09:17:00Z</cp:lastPrinted>
  <dcterms:created xsi:type="dcterms:W3CDTF">2018-02-20T09:17:00Z</dcterms:created>
  <dcterms:modified xsi:type="dcterms:W3CDTF">2018-02-27T14:42:00Z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